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49934AC8" w:rsidR="00E203C2" w:rsidRDefault="00E203C2" w:rsidP="00E203C2">
      <w:bookmarkStart w:id="0" w:name="_GoBack"/>
      <w:bookmarkEnd w:id="0"/>
      <w:r>
        <w:rPr>
          <w:noProof/>
          <w:lang w:eastAsia="en-GB" w:bidi="ar-SA"/>
        </w:rPr>
        <w:drawing>
          <wp:inline distT="0" distB="0" distL="0" distR="0" wp14:anchorId="53705D84" wp14:editId="32A8C54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6867E41F" w14:textId="77777777" w:rsidR="00067F54" w:rsidRDefault="00067F54" w:rsidP="00067F54">
      <w:pPr>
        <w:rPr>
          <w:b/>
          <w:sz w:val="28"/>
          <w:szCs w:val="28"/>
        </w:rPr>
      </w:pPr>
      <w:r>
        <w:rPr>
          <w:b/>
          <w:sz w:val="28"/>
          <w:szCs w:val="28"/>
        </w:rPr>
        <w:t>02 August 2022</w:t>
      </w:r>
    </w:p>
    <w:p w14:paraId="74A7727E" w14:textId="77777777" w:rsidR="00067F54" w:rsidRDefault="00067F54" w:rsidP="00067F54">
      <w:pPr>
        <w:rPr>
          <w:b/>
          <w:sz w:val="28"/>
          <w:szCs w:val="28"/>
        </w:rPr>
      </w:pPr>
      <w:r>
        <w:rPr>
          <w:b/>
          <w:sz w:val="28"/>
          <w:szCs w:val="28"/>
        </w:rPr>
        <w:t>210-22</w:t>
      </w:r>
    </w:p>
    <w:p w14:paraId="5B92753D" w14:textId="77777777" w:rsidR="0057615C" w:rsidRPr="0057615C" w:rsidRDefault="0057615C" w:rsidP="008167C9">
      <w:pPr>
        <w:pStyle w:val="FSTitle"/>
        <w:spacing w:before="0" w:after="0"/>
        <w:rPr>
          <w:b/>
          <w:sz w:val="22"/>
        </w:rPr>
      </w:pPr>
    </w:p>
    <w:p w14:paraId="1CA8799B" w14:textId="307520C0" w:rsidR="00092CDA" w:rsidRPr="005B7A73" w:rsidRDefault="00092CDA" w:rsidP="008167C9">
      <w:pPr>
        <w:pStyle w:val="FSTitle"/>
        <w:spacing w:before="0" w:after="0"/>
        <w:rPr>
          <w:b/>
        </w:rPr>
      </w:pPr>
      <w:r w:rsidRPr="005B7A73">
        <w:rPr>
          <w:b/>
        </w:rPr>
        <w:t>S</w:t>
      </w:r>
      <w:r w:rsidR="00B12F1E" w:rsidRPr="005B7A73">
        <w:rPr>
          <w:b/>
        </w:rPr>
        <w:t>upporting document</w:t>
      </w:r>
    </w:p>
    <w:p w14:paraId="064DFDFD" w14:textId="77777777" w:rsidR="00BA24E2" w:rsidRPr="008167C9" w:rsidRDefault="00BA24E2" w:rsidP="008167C9">
      <w:pPr>
        <w:spacing w:before="0" w:after="0"/>
      </w:pPr>
    </w:p>
    <w:p w14:paraId="79157BBE" w14:textId="26735A4B" w:rsidR="00D056F1" w:rsidRPr="008167C9" w:rsidRDefault="00320839" w:rsidP="008167C9">
      <w:pPr>
        <w:pStyle w:val="FSTitle"/>
        <w:spacing w:before="0" w:after="0"/>
      </w:pPr>
      <w:r w:rsidRPr="008167C9">
        <w:t xml:space="preserve">Risk </w:t>
      </w:r>
      <w:r w:rsidR="008167C9" w:rsidRPr="008167C9">
        <w:t xml:space="preserve">and technical </w:t>
      </w:r>
      <w:r w:rsidRPr="008167C9">
        <w:t>assessment</w:t>
      </w:r>
      <w:r w:rsidR="006B5EBE" w:rsidRPr="008167C9">
        <w:t xml:space="preserve"> – </w:t>
      </w:r>
      <w:r w:rsidR="00D056F1" w:rsidRPr="008167C9">
        <w:t>A</w:t>
      </w:r>
      <w:r w:rsidR="00B12F1E" w:rsidRPr="008167C9">
        <w:t>pplication</w:t>
      </w:r>
      <w:r w:rsidR="00D056F1" w:rsidRPr="008167C9">
        <w:t xml:space="preserve"> A</w:t>
      </w:r>
      <w:r w:rsidR="008167C9" w:rsidRPr="008167C9">
        <w:t>1221</w:t>
      </w:r>
    </w:p>
    <w:p w14:paraId="48392800" w14:textId="77777777" w:rsidR="00E203C2" w:rsidRPr="008167C9" w:rsidRDefault="00E203C2" w:rsidP="008167C9">
      <w:pPr>
        <w:spacing w:before="0" w:after="0"/>
      </w:pPr>
    </w:p>
    <w:p w14:paraId="53C06B21" w14:textId="1CCDE206" w:rsidR="00D056F1" w:rsidRPr="008167C9" w:rsidRDefault="008167C9" w:rsidP="008167C9">
      <w:pPr>
        <w:pStyle w:val="FSTitle"/>
        <w:spacing w:before="0" w:after="0"/>
      </w:pPr>
      <w:r w:rsidRPr="008167C9">
        <w:t xml:space="preserve">Phospholipase A1 from GM </w:t>
      </w:r>
      <w:r w:rsidRPr="008167C9">
        <w:rPr>
          <w:i/>
        </w:rPr>
        <w:t>Aspergillus niger</w:t>
      </w:r>
      <w:r w:rsidRPr="008167C9">
        <w:t xml:space="preserve"> as a processing aid </w:t>
      </w:r>
    </w:p>
    <w:p w14:paraId="17DAB6BE" w14:textId="77777777" w:rsidR="00E203C2" w:rsidRPr="00B37BF0" w:rsidRDefault="00E203C2" w:rsidP="008167C9">
      <w:pPr>
        <w:pBdr>
          <w:bottom w:val="single" w:sz="12" w:space="1" w:color="auto"/>
        </w:pBdr>
        <w:spacing w:before="0" w:after="0" w:line="280" w:lineRule="exact"/>
        <w:rPr>
          <w:rFonts w:cs="Arial"/>
          <w:bCs/>
        </w:rPr>
      </w:pPr>
    </w:p>
    <w:p w14:paraId="168AF5F2" w14:textId="77777777" w:rsidR="00092CDA" w:rsidRPr="00092CDA" w:rsidRDefault="00092CDA" w:rsidP="008167C9">
      <w:pPr>
        <w:pStyle w:val="Heading1"/>
        <w:spacing w:before="0"/>
      </w:pPr>
      <w:bookmarkStart w:id="1" w:name="_Toc286391001"/>
      <w:bookmarkStart w:id="2" w:name="_Toc300933414"/>
      <w:bookmarkStart w:id="3" w:name="_Toc107222990"/>
      <w:r>
        <w:t xml:space="preserve">Executive </w:t>
      </w:r>
      <w:r w:rsidR="00B12F1E">
        <w:t>s</w:t>
      </w:r>
      <w:r>
        <w:t>ummary</w:t>
      </w:r>
      <w:bookmarkEnd w:id="1"/>
      <w:bookmarkEnd w:id="2"/>
      <w:bookmarkEnd w:id="3"/>
    </w:p>
    <w:p w14:paraId="26D51487" w14:textId="3E625792" w:rsidR="006C0E26" w:rsidRPr="00CC7EE9" w:rsidRDefault="008167C9" w:rsidP="008167C9">
      <w:pPr>
        <w:widowControl w:val="0"/>
        <w:spacing w:before="0"/>
        <w:rPr>
          <w:i/>
        </w:rPr>
      </w:pPr>
      <w:r>
        <w:rPr>
          <w:lang w:val="en-AU"/>
        </w:rPr>
        <w:t xml:space="preserve">Novozymes Australia Pty Limited applied to Food Standards Australia New Zealand (FSANZ) to amend </w:t>
      </w:r>
      <w:r w:rsidR="00E25708" w:rsidRPr="006C0E26">
        <w:rPr>
          <w:lang w:val="en-AU"/>
        </w:rPr>
        <w:t xml:space="preserve">Schedule 18 of the Australia New Zealand Food Standards Code (the Code) to include </w:t>
      </w:r>
      <w:r w:rsidR="006C0E26" w:rsidRPr="006C0E26">
        <w:rPr>
          <w:lang w:val="en-AU"/>
        </w:rPr>
        <w:t>phospholipase A1</w:t>
      </w:r>
      <w:r w:rsidR="00E25708" w:rsidRPr="006C0E26">
        <w:rPr>
          <w:lang w:val="en-AU"/>
        </w:rPr>
        <w:t xml:space="preserve"> </w:t>
      </w:r>
      <w:r w:rsidR="00E25708" w:rsidRPr="00792505">
        <w:t>(EC 3.</w:t>
      </w:r>
      <w:r w:rsidR="006C0E26" w:rsidRPr="00792505">
        <w:t>1</w:t>
      </w:r>
      <w:r w:rsidR="00E25708" w:rsidRPr="00792505">
        <w:t>.1.</w:t>
      </w:r>
      <w:r w:rsidR="006C0E26" w:rsidRPr="00792505">
        <w:t>3</w:t>
      </w:r>
      <w:r w:rsidR="00E25708" w:rsidRPr="00792505">
        <w:t xml:space="preserve">2) as a processing aid for use </w:t>
      </w:r>
      <w:r w:rsidR="006C0E26" w:rsidRPr="002F54DC">
        <w:t xml:space="preserve">in the manufacture of edible vegetable oils and fats products. </w:t>
      </w:r>
      <w:r w:rsidR="006C0E26" w:rsidRPr="00527245">
        <w:t xml:space="preserve">This enzyme is sourced from genetically modified (GM) </w:t>
      </w:r>
      <w:r w:rsidR="006C0E26" w:rsidRPr="003E7C13">
        <w:rPr>
          <w:i/>
        </w:rPr>
        <w:t xml:space="preserve">Aspergillus niger, </w:t>
      </w:r>
      <w:r w:rsidR="006C0E26" w:rsidRPr="002F54DC">
        <w:t>containing the phospholipase A1</w:t>
      </w:r>
      <w:r w:rsidR="006C0E26" w:rsidRPr="00527245">
        <w:t xml:space="preserve"> gene from </w:t>
      </w:r>
      <w:r w:rsidRPr="008167C9">
        <w:rPr>
          <w:i/>
        </w:rPr>
        <w:t>Evansstolkia</w:t>
      </w:r>
      <w:r w:rsidRPr="008167C9">
        <w:t xml:space="preserve"> </w:t>
      </w:r>
      <w:r w:rsidRPr="008167C9">
        <w:rPr>
          <w:i/>
        </w:rPr>
        <w:t>leycettana</w:t>
      </w:r>
      <w:r w:rsidRPr="008167C9">
        <w:t xml:space="preserve"> (basionym </w:t>
      </w:r>
      <w:r w:rsidRPr="008167C9">
        <w:rPr>
          <w:i/>
        </w:rPr>
        <w:t>Talaromyces</w:t>
      </w:r>
      <w:r w:rsidRPr="008167C9">
        <w:t xml:space="preserve"> </w:t>
      </w:r>
      <w:r w:rsidRPr="008167C9">
        <w:rPr>
          <w:i/>
        </w:rPr>
        <w:t>leycettanus</w:t>
      </w:r>
      <w:r w:rsidR="00541B14">
        <w:t>).</w:t>
      </w:r>
    </w:p>
    <w:p w14:paraId="1185FB3E" w14:textId="2EED3106" w:rsidR="00776A0D" w:rsidRDefault="00776A0D" w:rsidP="008167C9">
      <w:pPr>
        <w:spacing w:before="0" w:after="0"/>
      </w:pPr>
      <w:r w:rsidRPr="00776A0D">
        <w:t>FSANZ has undertaken an assessment to determine whether the enzyme achieves its technological purpose in the quantity and form proposed to be used and to evaluate public health and safety concerns that may arise from the use of this enzyme.</w:t>
      </w:r>
    </w:p>
    <w:p w14:paraId="5C7E6D8C" w14:textId="77777777" w:rsidR="00776A0D" w:rsidRDefault="00776A0D" w:rsidP="008167C9">
      <w:pPr>
        <w:spacing w:before="0" w:after="0"/>
      </w:pPr>
    </w:p>
    <w:p w14:paraId="61D191F5" w14:textId="631C0606" w:rsidR="00445589" w:rsidRDefault="00776A0D" w:rsidP="008167C9">
      <w:pPr>
        <w:spacing w:before="0" w:after="0"/>
      </w:pPr>
      <w:r>
        <w:t xml:space="preserve">FSANZ concludes that the proposed use of the enzyme in the processing </w:t>
      </w:r>
      <w:r w:rsidR="00185ED4">
        <w:t xml:space="preserve">of </w:t>
      </w:r>
      <w:r>
        <w:t xml:space="preserve">vegetable oils is consistent with its typical function of </w:t>
      </w:r>
      <w:r w:rsidRPr="00776A0D">
        <w:t>catalysing the hydrolysis of phospholipids</w:t>
      </w:r>
      <w:r>
        <w:t xml:space="preserve">. </w:t>
      </w:r>
      <w:r w:rsidR="00445589">
        <w:t xml:space="preserve">This converts the </w:t>
      </w:r>
      <w:r w:rsidR="00445589" w:rsidRPr="00445589">
        <w:t xml:space="preserve">phosphatides in vegetable oil to a hydrated gum that can easily </w:t>
      </w:r>
      <w:r w:rsidR="00445589">
        <w:t xml:space="preserve">be </w:t>
      </w:r>
      <w:r w:rsidR="00445589" w:rsidRPr="00445589">
        <w:t>removed before further refining.</w:t>
      </w:r>
      <w:r w:rsidR="00445589">
        <w:t xml:space="preserve"> </w:t>
      </w:r>
      <w:r w:rsidR="00AE21D0">
        <w:t>This process is</w:t>
      </w:r>
      <w:r w:rsidR="00445589">
        <w:t xml:space="preserve"> known as ‘degumming’. </w:t>
      </w:r>
    </w:p>
    <w:p w14:paraId="3FF4FF46" w14:textId="77777777" w:rsidR="00445589" w:rsidRDefault="00445589" w:rsidP="008167C9">
      <w:pPr>
        <w:spacing w:before="0" w:after="0"/>
      </w:pPr>
    </w:p>
    <w:p w14:paraId="52FCF97C" w14:textId="2931B917" w:rsidR="00776A0D" w:rsidRDefault="00776A0D" w:rsidP="008167C9">
      <w:pPr>
        <w:spacing w:before="0" w:after="0"/>
      </w:pPr>
      <w:r w:rsidRPr="00776A0D">
        <w:t>Analysis of the evidence provides adequate assurance that the proposed use of the enzyme, in the requested amount (a level not higher than necessary to achieve the desired enzyme reaction under good manufacturing practice (GMP)</w:t>
      </w:r>
      <w:r w:rsidR="00A030FD">
        <w:t>)</w:t>
      </w:r>
      <w:r w:rsidR="008F6523">
        <w:t>,</w:t>
      </w:r>
      <w:r w:rsidRPr="00776A0D">
        <w:t xml:space="preserve"> is technologically justified.</w:t>
      </w:r>
    </w:p>
    <w:p w14:paraId="57F6BD83" w14:textId="68DE41A7" w:rsidR="00776A0D" w:rsidRDefault="00776A0D" w:rsidP="008167C9">
      <w:pPr>
        <w:spacing w:before="0" w:after="0"/>
      </w:pPr>
    </w:p>
    <w:p w14:paraId="3189981C" w14:textId="3DA8AC22" w:rsidR="00776A0D" w:rsidRDefault="00776A0D" w:rsidP="008167C9">
      <w:pPr>
        <w:spacing w:before="0" w:after="0"/>
      </w:pPr>
      <w:r>
        <w:t>P</w:t>
      </w:r>
      <w:r w:rsidRPr="00776A0D">
        <w:t>hospholipase A1 performs its technological purpose during the production of food and is not performing a technological purpose in the final food. It is therefore appropriately categorised as a processing aid as defined in the Code.</w:t>
      </w:r>
    </w:p>
    <w:p w14:paraId="2BD5F087" w14:textId="77777777" w:rsidR="00776A0D" w:rsidRDefault="00776A0D" w:rsidP="008167C9">
      <w:pPr>
        <w:spacing w:before="0" w:after="0"/>
      </w:pPr>
    </w:p>
    <w:p w14:paraId="6748D9BF" w14:textId="38458A92" w:rsidR="006C0E26" w:rsidRDefault="006C0E26" w:rsidP="008167C9">
      <w:pPr>
        <w:spacing w:before="0" w:after="0"/>
        <w:rPr>
          <w:lang w:eastAsia="en-AU" w:bidi="ar-SA"/>
        </w:rPr>
      </w:pPr>
      <w:r w:rsidRPr="633F84AC">
        <w:rPr>
          <w:lang w:eastAsia="en-AU" w:bidi="ar-SA"/>
        </w:rPr>
        <w:t>There are relevant identity and purity specifications for the enzyme in the Code and the applicant provided evidence that the enzyme meets these specifications.</w:t>
      </w:r>
    </w:p>
    <w:p w14:paraId="5EE1DA7B" w14:textId="77777777" w:rsidR="00776A0D" w:rsidRDefault="00776A0D" w:rsidP="008167C9">
      <w:pPr>
        <w:spacing w:before="0" w:after="0"/>
        <w:rPr>
          <w:lang w:eastAsia="en-AU" w:bidi="ar-SA"/>
        </w:rPr>
      </w:pPr>
    </w:p>
    <w:p w14:paraId="2243A026" w14:textId="6EFD1B09" w:rsidR="009C737E" w:rsidRPr="003A01FB" w:rsidRDefault="009C737E" w:rsidP="008167C9">
      <w:pPr>
        <w:spacing w:before="0"/>
      </w:pPr>
      <w:r w:rsidRPr="00EE166A">
        <w:rPr>
          <w:lang w:val="en-AU"/>
        </w:rPr>
        <w:t xml:space="preserve">No public health and safety concerns were identified in the assessment of </w:t>
      </w:r>
      <w:r w:rsidRPr="00EE166A">
        <w:t xml:space="preserve">phospholipase A1 </w:t>
      </w:r>
      <w:r w:rsidRPr="00EE166A">
        <w:rPr>
          <w:lang w:val="en-AU" w:eastAsia="en-AU" w:bidi="ar-SA"/>
        </w:rPr>
        <w:t>from GM</w:t>
      </w:r>
      <w:r w:rsidRPr="00EE166A">
        <w:rPr>
          <w:lang w:val="en-AU"/>
        </w:rPr>
        <w:t xml:space="preserve"> </w:t>
      </w:r>
      <w:r w:rsidRPr="003E7C13">
        <w:rPr>
          <w:i/>
        </w:rPr>
        <w:t>A</w:t>
      </w:r>
      <w:r w:rsidRPr="008F2F68">
        <w:t>.</w:t>
      </w:r>
      <w:r w:rsidRPr="003E7C13">
        <w:rPr>
          <w:i/>
        </w:rPr>
        <w:t xml:space="preserve"> niger</w:t>
      </w:r>
      <w:r w:rsidRPr="00EE166A">
        <w:rPr>
          <w:lang w:val="en-AU"/>
        </w:rPr>
        <w:t xml:space="preserve"> under the proposed use conditions. </w:t>
      </w:r>
      <w:r w:rsidRPr="00EE166A">
        <w:rPr>
          <w:i/>
          <w:lang w:bidi="ar-SA"/>
        </w:rPr>
        <w:t>A</w:t>
      </w:r>
      <w:r w:rsidRPr="00EE166A">
        <w:rPr>
          <w:lang w:bidi="ar-SA"/>
        </w:rPr>
        <w:t xml:space="preserve">. </w:t>
      </w:r>
      <w:r w:rsidRPr="003E7C13">
        <w:rPr>
          <w:i/>
        </w:rPr>
        <w:t>niger</w:t>
      </w:r>
      <w:r w:rsidRPr="00EE166A">
        <w:rPr>
          <w:lang w:val="en-AU"/>
        </w:rPr>
        <w:t xml:space="preserve"> </w:t>
      </w:r>
      <w:r w:rsidRPr="00EE166A">
        <w:rPr>
          <w:lang w:bidi="ar-SA"/>
        </w:rPr>
        <w:t>has a long history of safe use as a source of enzyme processing aids, including</w:t>
      </w:r>
      <w:r w:rsidRPr="00FC1DB4">
        <w:rPr>
          <w:lang w:bidi="ar-SA"/>
        </w:rPr>
        <w:t xml:space="preserve"> </w:t>
      </w:r>
      <w:r>
        <w:rPr>
          <w:lang w:bidi="ar-SA"/>
        </w:rPr>
        <w:t>many</w:t>
      </w:r>
      <w:r w:rsidRPr="00FC1DB4">
        <w:rPr>
          <w:lang w:bidi="ar-SA"/>
        </w:rPr>
        <w:t xml:space="preserve"> </w:t>
      </w:r>
      <w:r w:rsidRPr="00FC1DB4">
        <w:rPr>
          <w:lang w:bidi="ar-SA"/>
        </w:rPr>
        <w:lastRenderedPageBreak/>
        <w:t>that are already permitted in the Code.</w:t>
      </w:r>
      <w:r>
        <w:rPr>
          <w:lang w:bidi="ar-SA"/>
        </w:rPr>
        <w:t xml:space="preserve"> </w:t>
      </w:r>
      <w:r>
        <w:rPr>
          <w:lang w:val="en-AU"/>
        </w:rPr>
        <w:t>The</w:t>
      </w:r>
      <w:r w:rsidRPr="004E38D4">
        <w:rPr>
          <w:lang w:val="en-AU"/>
        </w:rPr>
        <w:t xml:space="preserve"> </w:t>
      </w:r>
      <w:r w:rsidRPr="00376FBE">
        <w:rPr>
          <w:i/>
          <w:lang w:val="en-AU"/>
        </w:rPr>
        <w:t>A</w:t>
      </w:r>
      <w:r w:rsidRPr="00EE10FE">
        <w:rPr>
          <w:lang w:val="en-AU"/>
        </w:rPr>
        <w:t xml:space="preserve">. </w:t>
      </w:r>
      <w:r w:rsidRPr="003E7C13">
        <w:rPr>
          <w:i/>
        </w:rPr>
        <w:t>niger</w:t>
      </w:r>
      <w:r w:rsidRPr="00EE166A">
        <w:rPr>
          <w:lang w:val="en-AU"/>
        </w:rPr>
        <w:t xml:space="preserve"> </w:t>
      </w:r>
      <w:r>
        <w:rPr>
          <w:lang w:val="en-AU"/>
        </w:rPr>
        <w:t>host is neither</w:t>
      </w:r>
      <w:r w:rsidRPr="004E38D4">
        <w:rPr>
          <w:lang w:val="en-AU"/>
        </w:rPr>
        <w:t xml:space="preserve"> </w:t>
      </w:r>
      <w:r>
        <w:rPr>
          <w:lang w:val="en-AU"/>
        </w:rPr>
        <w:t xml:space="preserve">pathogenic </w:t>
      </w:r>
      <w:r w:rsidR="00165572">
        <w:rPr>
          <w:lang w:val="en-AU"/>
        </w:rPr>
        <w:t>n</w:t>
      </w:r>
      <w:r>
        <w:rPr>
          <w:lang w:val="en-AU"/>
        </w:rPr>
        <w:t xml:space="preserve">or </w:t>
      </w:r>
      <w:r w:rsidRPr="004E38D4">
        <w:rPr>
          <w:lang w:val="en-AU"/>
        </w:rPr>
        <w:t>toxigenic.</w:t>
      </w:r>
      <w:r>
        <w:rPr>
          <w:lang w:val="en-AU"/>
        </w:rPr>
        <w:t xml:space="preserve"> </w:t>
      </w:r>
    </w:p>
    <w:p w14:paraId="448A2DDA" w14:textId="77777777" w:rsidR="00792505" w:rsidRDefault="00792505" w:rsidP="008167C9">
      <w:pPr>
        <w:spacing w:before="0" w:line="256" w:lineRule="auto"/>
        <w:rPr>
          <w:lang w:val="en-AU"/>
        </w:rPr>
      </w:pPr>
      <w:r w:rsidRPr="0086763D">
        <w:rPr>
          <w:lang w:val="en-AU"/>
        </w:rPr>
        <w:t xml:space="preserve">Analysis of the modified production strain confirmed </w:t>
      </w:r>
      <w:r>
        <w:rPr>
          <w:lang w:val="en-AU"/>
        </w:rPr>
        <w:t xml:space="preserve">the </w:t>
      </w:r>
      <w:r w:rsidRPr="0086763D">
        <w:rPr>
          <w:lang w:val="en-AU"/>
        </w:rPr>
        <w:t>presence and stability of the inserted DNA.</w:t>
      </w:r>
    </w:p>
    <w:p w14:paraId="4AE64C8A" w14:textId="670BCB5B" w:rsidR="006C0E26" w:rsidRPr="00776A0D" w:rsidRDefault="006C0E26" w:rsidP="008167C9">
      <w:pPr>
        <w:spacing w:before="0" w:after="240"/>
        <w:rPr>
          <w:rFonts w:cs="Arial"/>
          <w:lang w:eastAsia="en-AU" w:bidi="ar-SA"/>
        </w:rPr>
      </w:pPr>
      <w:r w:rsidRPr="643E9527">
        <w:rPr>
          <w:rFonts w:cs="Arial"/>
          <w:lang w:eastAsia="en-AU" w:bidi="ar-SA"/>
        </w:rPr>
        <w:t xml:space="preserve">The enzyme does not show any appreciable sequence homology with known toxins. </w:t>
      </w:r>
      <w:r w:rsidR="00575767" w:rsidRPr="643E9527">
        <w:rPr>
          <w:rFonts w:cs="Arial"/>
          <w:lang w:eastAsia="en-AU" w:bidi="ar-SA"/>
        </w:rPr>
        <w:t>No treatment-related adverse effects were observed i</w:t>
      </w:r>
      <w:r w:rsidRPr="643E9527">
        <w:rPr>
          <w:rFonts w:cs="Arial"/>
          <w:lang w:eastAsia="en-AU" w:bidi="ar-SA"/>
        </w:rPr>
        <w:t>n a 90-day oral gavage study in rats</w:t>
      </w:r>
      <w:r w:rsidR="00A34D24" w:rsidRPr="643E9527">
        <w:rPr>
          <w:rFonts w:cs="Arial"/>
          <w:lang w:eastAsia="en-AU" w:bidi="ar-SA"/>
        </w:rPr>
        <w:t xml:space="preserve">. </w:t>
      </w:r>
      <w:r w:rsidRPr="643E9527">
        <w:rPr>
          <w:rFonts w:cs="Arial"/>
          <w:lang w:eastAsia="en-AU" w:bidi="ar-SA"/>
        </w:rPr>
        <w:t xml:space="preserve"> </w:t>
      </w:r>
      <w:r w:rsidRPr="643E9527">
        <w:rPr>
          <w:lang w:eastAsia="en-AU" w:bidi="ar-SA"/>
        </w:rPr>
        <w:t>It was concluded that the no observed adverse effect level (NOAEL) was the highest dose tested, 1356 mg</w:t>
      </w:r>
      <w:r w:rsidR="00A030FD" w:rsidRPr="643E9527">
        <w:rPr>
          <w:lang w:eastAsia="en-AU" w:bidi="ar-SA"/>
        </w:rPr>
        <w:t xml:space="preserve"> total organic solids</w:t>
      </w:r>
      <w:r w:rsidRPr="643E9527">
        <w:rPr>
          <w:lang w:eastAsia="en-AU" w:bidi="ar-SA"/>
        </w:rPr>
        <w:t xml:space="preserve"> </w:t>
      </w:r>
      <w:r w:rsidR="00A030FD" w:rsidRPr="643E9527">
        <w:rPr>
          <w:lang w:eastAsia="en-AU" w:bidi="ar-SA"/>
        </w:rPr>
        <w:t>(</w:t>
      </w:r>
      <w:r w:rsidRPr="643E9527">
        <w:rPr>
          <w:lang w:eastAsia="en-AU" w:bidi="ar-SA"/>
        </w:rPr>
        <w:t>TOS</w:t>
      </w:r>
      <w:r w:rsidR="00A030FD" w:rsidRPr="643E9527">
        <w:rPr>
          <w:lang w:eastAsia="en-AU" w:bidi="ar-SA"/>
        </w:rPr>
        <w:t>)</w:t>
      </w:r>
      <w:r w:rsidRPr="643E9527">
        <w:rPr>
          <w:lang w:eastAsia="en-AU" w:bidi="ar-SA"/>
        </w:rPr>
        <w:t>/kg bw/day.</w:t>
      </w:r>
      <w:r w:rsidRPr="643E9527">
        <w:rPr>
          <w:rFonts w:cs="Arial"/>
          <w:lang w:eastAsia="en-AU" w:bidi="ar-SA"/>
        </w:rPr>
        <w:t xml:space="preserve"> </w:t>
      </w:r>
      <w:r w:rsidR="00A34D24" w:rsidRPr="643E9527">
        <w:rPr>
          <w:rFonts w:cs="Arial"/>
          <w:lang w:eastAsia="en-AU" w:bidi="ar-SA"/>
        </w:rPr>
        <w:t xml:space="preserve">The enzyme was not genotoxic </w:t>
      </w:r>
      <w:r w:rsidR="00A34D24" w:rsidRPr="643E9527">
        <w:rPr>
          <w:rFonts w:cs="Arial"/>
          <w:i/>
          <w:iCs/>
          <w:lang w:eastAsia="en-AU" w:bidi="ar-SA"/>
        </w:rPr>
        <w:t>in vitro</w:t>
      </w:r>
      <w:r w:rsidRPr="643E9527">
        <w:rPr>
          <w:rFonts w:cs="Arial"/>
          <w:lang w:eastAsia="en-AU" w:bidi="ar-SA"/>
        </w:rPr>
        <w:t xml:space="preserve">. Results of a sequence homology assessment </w:t>
      </w:r>
      <w:r w:rsidR="00AD37B8" w:rsidRPr="643E9527">
        <w:rPr>
          <w:rFonts w:cs="Arial"/>
          <w:lang w:eastAsia="en-AU" w:bidi="ar-SA"/>
        </w:rPr>
        <w:t xml:space="preserve">found no significant homology with </w:t>
      </w:r>
      <w:r w:rsidRPr="643E9527">
        <w:rPr>
          <w:rFonts w:cs="Arial"/>
          <w:lang w:eastAsia="en-AU" w:bidi="ar-SA"/>
        </w:rPr>
        <w:t>known allergens</w:t>
      </w:r>
      <w:r w:rsidR="00AD37B8">
        <w:t xml:space="preserve"> and the enzyme is not anticipated to pose any allergenic concern in food</w:t>
      </w:r>
      <w:r w:rsidRPr="643E9527">
        <w:rPr>
          <w:rFonts w:cs="Arial"/>
          <w:lang w:eastAsia="en-AU" w:bidi="ar-SA"/>
        </w:rPr>
        <w:t xml:space="preserve">. </w:t>
      </w:r>
    </w:p>
    <w:p w14:paraId="00132506" w14:textId="1732C688" w:rsidR="006C0E26" w:rsidRDefault="006C0E26" w:rsidP="488A3910">
      <w:pPr>
        <w:spacing w:before="0"/>
      </w:pPr>
      <w:r>
        <w:t>The</w:t>
      </w:r>
      <w:r w:rsidR="00185ED4">
        <w:t xml:space="preserve"> theoretical maximum daily intake</w:t>
      </w:r>
      <w:r w:rsidR="488A3910" w:rsidRPr="3CEA6639">
        <w:rPr>
          <w:rFonts w:eastAsia="Arial" w:cs="Arial"/>
        </w:rPr>
        <w:t xml:space="preserve"> (</w:t>
      </w:r>
      <w:r>
        <w:t xml:space="preserve">TMDI) based on FSANZ’s calculations for solid food and non-milk beverages is 0.006 mg TOS/kg body weight/day. Comparison of the NOAEL and the TMDI results in a </w:t>
      </w:r>
      <w:r w:rsidR="00AD37B8">
        <w:t xml:space="preserve">margin </w:t>
      </w:r>
      <w:r>
        <w:t xml:space="preserve">of </w:t>
      </w:r>
      <w:r w:rsidR="00AD37B8">
        <w:t xml:space="preserve">exposure </w:t>
      </w:r>
      <w:r>
        <w:t xml:space="preserve">(MOE) of around 226,000. </w:t>
      </w:r>
    </w:p>
    <w:p w14:paraId="4B0EE804" w14:textId="7D5109A0" w:rsidR="006C0E26" w:rsidRPr="00357425" w:rsidRDefault="006C0E26" w:rsidP="008167C9">
      <w:pPr>
        <w:spacing w:before="0"/>
        <w:rPr>
          <w:lang w:bidi="ar-SA"/>
        </w:rPr>
      </w:pPr>
      <w:r w:rsidRPr="3CEA6639">
        <w:rPr>
          <w:lang w:bidi="ar-SA"/>
        </w:rPr>
        <w:t xml:space="preserve">In </w:t>
      </w:r>
      <w:r>
        <w:t xml:space="preserve">the absence of any identifiable hazard an </w:t>
      </w:r>
      <w:r w:rsidR="00A030FD">
        <w:t xml:space="preserve">acceptable daily intake </w:t>
      </w:r>
      <w:r>
        <w:t>(ADI) ‘not specified’ is appropriate for phospholipase A1 from</w:t>
      </w:r>
      <w:r w:rsidR="00185ED4">
        <w:t xml:space="preserve"> </w:t>
      </w:r>
      <w:r w:rsidR="00185ED4" w:rsidRPr="3CEA6639">
        <w:rPr>
          <w:i/>
          <w:iCs/>
        </w:rPr>
        <w:t>E</w:t>
      </w:r>
      <w:r w:rsidR="00C468F9" w:rsidRPr="3CEA6639">
        <w:rPr>
          <w:i/>
          <w:iCs/>
        </w:rPr>
        <w:t>.</w:t>
      </w:r>
      <w:r w:rsidR="00185ED4">
        <w:t xml:space="preserve"> </w:t>
      </w:r>
      <w:r w:rsidR="00185ED4" w:rsidRPr="3CEA6639">
        <w:rPr>
          <w:i/>
          <w:iCs/>
        </w:rPr>
        <w:t>leycettana</w:t>
      </w:r>
      <w:r>
        <w:t xml:space="preserve">, expressed in GM </w:t>
      </w:r>
      <w:r w:rsidR="006053F1" w:rsidRPr="3CEA6639">
        <w:rPr>
          <w:i/>
          <w:iCs/>
        </w:rPr>
        <w:t>A</w:t>
      </w:r>
      <w:r w:rsidR="006053F1">
        <w:rPr>
          <w:i/>
          <w:iCs/>
        </w:rPr>
        <w:t>.</w:t>
      </w:r>
      <w:r w:rsidR="006053F1" w:rsidRPr="3CEA6639">
        <w:rPr>
          <w:i/>
          <w:iCs/>
        </w:rPr>
        <w:t xml:space="preserve"> </w:t>
      </w:r>
      <w:r w:rsidRPr="3CEA6639">
        <w:rPr>
          <w:i/>
          <w:iCs/>
        </w:rPr>
        <w:t>niger</w:t>
      </w:r>
      <w:r>
        <w:t>.</w:t>
      </w:r>
    </w:p>
    <w:p w14:paraId="35732AD1" w14:textId="6F7F7DE2" w:rsidR="00B17041" w:rsidRPr="0086763D" w:rsidRDefault="00B17041" w:rsidP="008167C9">
      <w:pPr>
        <w:spacing w:before="0" w:line="256" w:lineRule="auto"/>
        <w:rPr>
          <w:lang w:val="en-AU"/>
        </w:rPr>
      </w:pPr>
    </w:p>
    <w:p w14:paraId="56499194" w14:textId="38D583ED" w:rsidR="0086763D" w:rsidRDefault="0086763D" w:rsidP="00690206"/>
    <w:p w14:paraId="7232FFE0" w14:textId="77777777" w:rsidR="00B17041" w:rsidRDefault="00B17041" w:rsidP="00690206">
      <w:pPr>
        <w:sectPr w:rsidR="00B17041" w:rsidSect="0054272D">
          <w:footerReference w:type="even" r:id="rId14"/>
          <w:footerReference w:type="default" r:id="rId15"/>
          <w:headerReference w:type="first" r:id="rId16"/>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633F84AC">
      <w:pPr>
        <w:pStyle w:val="TOCHeading"/>
        <w:jc w:val="left"/>
        <w:rPr>
          <w:b w:val="0"/>
          <w:bCs w:val="0"/>
          <w:sz w:val="32"/>
          <w:szCs w:val="32"/>
        </w:rPr>
      </w:pPr>
      <w:r w:rsidRPr="0033393C">
        <w:rPr>
          <w:szCs w:val="36"/>
        </w:rPr>
        <w:lastRenderedPageBreak/>
        <w:t xml:space="preserve">Table of </w:t>
      </w:r>
      <w:r w:rsidR="00A77BFA" w:rsidRPr="0033393C">
        <w:rPr>
          <w:szCs w:val="36"/>
        </w:rPr>
        <w:t>c</w:t>
      </w:r>
      <w:r w:rsidRPr="0033393C">
        <w:rPr>
          <w:szCs w:val="36"/>
        </w:rPr>
        <w:t>ontents</w:t>
      </w:r>
    </w:p>
    <w:p w14:paraId="7E2C90B1" w14:textId="71DA29A3" w:rsidR="00117FFA"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07222990" w:history="1">
        <w:r w:rsidR="00117FFA" w:rsidRPr="00E517D8">
          <w:rPr>
            <w:rStyle w:val="Hyperlink"/>
            <w:noProof/>
          </w:rPr>
          <w:t>Executive summary</w:t>
        </w:r>
        <w:r w:rsidR="00117FFA">
          <w:rPr>
            <w:noProof/>
            <w:webHidden/>
          </w:rPr>
          <w:tab/>
        </w:r>
        <w:r w:rsidR="00117FFA">
          <w:rPr>
            <w:noProof/>
            <w:webHidden/>
          </w:rPr>
          <w:fldChar w:fldCharType="begin"/>
        </w:r>
        <w:r w:rsidR="00117FFA">
          <w:rPr>
            <w:noProof/>
            <w:webHidden/>
          </w:rPr>
          <w:instrText xml:space="preserve"> PAGEREF _Toc107222990 \h </w:instrText>
        </w:r>
        <w:r w:rsidR="00117FFA">
          <w:rPr>
            <w:noProof/>
            <w:webHidden/>
          </w:rPr>
        </w:r>
        <w:r w:rsidR="00117FFA">
          <w:rPr>
            <w:noProof/>
            <w:webHidden/>
          </w:rPr>
          <w:fldChar w:fldCharType="separate"/>
        </w:r>
        <w:r w:rsidR="00117FFA">
          <w:rPr>
            <w:noProof/>
            <w:webHidden/>
          </w:rPr>
          <w:t>i</w:t>
        </w:r>
        <w:r w:rsidR="00117FFA">
          <w:rPr>
            <w:noProof/>
            <w:webHidden/>
          </w:rPr>
          <w:fldChar w:fldCharType="end"/>
        </w:r>
      </w:hyperlink>
    </w:p>
    <w:p w14:paraId="0EB7C6C6" w14:textId="63293515" w:rsidR="00117FFA" w:rsidRDefault="00067F54">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7222991" w:history="1">
        <w:r w:rsidR="00117FFA" w:rsidRPr="00E517D8">
          <w:rPr>
            <w:rStyle w:val="Hyperlink"/>
            <w:noProof/>
          </w:rPr>
          <w:t>1</w:t>
        </w:r>
        <w:r w:rsidR="00117FFA">
          <w:rPr>
            <w:rFonts w:eastAsiaTheme="minorEastAsia" w:cstheme="minorBidi"/>
            <w:b w:val="0"/>
            <w:bCs w:val="0"/>
            <w:caps w:val="0"/>
            <w:noProof/>
            <w:sz w:val="22"/>
            <w:szCs w:val="22"/>
            <w:lang w:eastAsia="en-GB" w:bidi="ar-SA"/>
          </w:rPr>
          <w:tab/>
        </w:r>
        <w:r w:rsidR="00117FFA" w:rsidRPr="00E517D8">
          <w:rPr>
            <w:rStyle w:val="Hyperlink"/>
            <w:noProof/>
          </w:rPr>
          <w:t>Introduction</w:t>
        </w:r>
        <w:r w:rsidR="00117FFA">
          <w:rPr>
            <w:noProof/>
            <w:webHidden/>
          </w:rPr>
          <w:tab/>
        </w:r>
        <w:r w:rsidR="00117FFA">
          <w:rPr>
            <w:noProof/>
            <w:webHidden/>
          </w:rPr>
          <w:fldChar w:fldCharType="begin"/>
        </w:r>
        <w:r w:rsidR="00117FFA">
          <w:rPr>
            <w:noProof/>
            <w:webHidden/>
          </w:rPr>
          <w:instrText xml:space="preserve"> PAGEREF _Toc107222991 \h </w:instrText>
        </w:r>
        <w:r w:rsidR="00117FFA">
          <w:rPr>
            <w:noProof/>
            <w:webHidden/>
          </w:rPr>
        </w:r>
        <w:r w:rsidR="00117FFA">
          <w:rPr>
            <w:noProof/>
            <w:webHidden/>
          </w:rPr>
          <w:fldChar w:fldCharType="separate"/>
        </w:r>
        <w:r w:rsidR="00117FFA">
          <w:rPr>
            <w:noProof/>
            <w:webHidden/>
          </w:rPr>
          <w:t>2</w:t>
        </w:r>
        <w:r w:rsidR="00117FFA">
          <w:rPr>
            <w:noProof/>
            <w:webHidden/>
          </w:rPr>
          <w:fldChar w:fldCharType="end"/>
        </w:r>
      </w:hyperlink>
    </w:p>
    <w:p w14:paraId="3B513FC5" w14:textId="54D7768D"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2992" w:history="1">
        <w:r w:rsidR="00117FFA" w:rsidRPr="00E517D8">
          <w:rPr>
            <w:rStyle w:val="Hyperlink"/>
            <w:rFonts w:cs="Arial"/>
            <w:b/>
            <w:bCs/>
            <w:noProof/>
          </w:rPr>
          <w:t>1.1</w:t>
        </w:r>
        <w:r w:rsidR="00117FFA">
          <w:rPr>
            <w:rFonts w:eastAsiaTheme="minorEastAsia" w:cstheme="minorBidi"/>
            <w:smallCaps w:val="0"/>
            <w:noProof/>
            <w:sz w:val="22"/>
            <w:szCs w:val="22"/>
            <w:lang w:eastAsia="en-GB" w:bidi="ar-SA"/>
          </w:rPr>
          <w:tab/>
        </w:r>
        <w:r w:rsidR="00117FFA" w:rsidRPr="00E517D8">
          <w:rPr>
            <w:rStyle w:val="Hyperlink"/>
            <w:rFonts w:cs="Arial"/>
            <w:b/>
            <w:bCs/>
            <w:noProof/>
          </w:rPr>
          <w:t>Objectives of the assessment</w:t>
        </w:r>
        <w:r w:rsidR="00117FFA">
          <w:rPr>
            <w:noProof/>
            <w:webHidden/>
          </w:rPr>
          <w:tab/>
        </w:r>
        <w:r w:rsidR="00117FFA">
          <w:rPr>
            <w:noProof/>
            <w:webHidden/>
          </w:rPr>
          <w:fldChar w:fldCharType="begin"/>
        </w:r>
        <w:r w:rsidR="00117FFA">
          <w:rPr>
            <w:noProof/>
            <w:webHidden/>
          </w:rPr>
          <w:instrText xml:space="preserve"> PAGEREF _Toc107222992 \h </w:instrText>
        </w:r>
        <w:r w:rsidR="00117FFA">
          <w:rPr>
            <w:noProof/>
            <w:webHidden/>
          </w:rPr>
        </w:r>
        <w:r w:rsidR="00117FFA">
          <w:rPr>
            <w:noProof/>
            <w:webHidden/>
          </w:rPr>
          <w:fldChar w:fldCharType="separate"/>
        </w:r>
        <w:r w:rsidR="00117FFA">
          <w:rPr>
            <w:noProof/>
            <w:webHidden/>
          </w:rPr>
          <w:t>2</w:t>
        </w:r>
        <w:r w:rsidR="00117FFA">
          <w:rPr>
            <w:noProof/>
            <w:webHidden/>
          </w:rPr>
          <w:fldChar w:fldCharType="end"/>
        </w:r>
      </w:hyperlink>
    </w:p>
    <w:p w14:paraId="370837FE" w14:textId="67693E4A" w:rsidR="00117FFA" w:rsidRDefault="00067F54">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7222993" w:history="1">
        <w:r w:rsidR="00117FFA" w:rsidRPr="00E517D8">
          <w:rPr>
            <w:rStyle w:val="Hyperlink"/>
            <w:noProof/>
          </w:rPr>
          <w:t>2</w:t>
        </w:r>
        <w:r w:rsidR="00117FFA">
          <w:rPr>
            <w:rFonts w:eastAsiaTheme="minorEastAsia" w:cstheme="minorBidi"/>
            <w:b w:val="0"/>
            <w:bCs w:val="0"/>
            <w:caps w:val="0"/>
            <w:noProof/>
            <w:sz w:val="22"/>
            <w:szCs w:val="22"/>
            <w:lang w:eastAsia="en-GB" w:bidi="ar-SA"/>
          </w:rPr>
          <w:tab/>
        </w:r>
        <w:r w:rsidR="00117FFA" w:rsidRPr="00E517D8">
          <w:rPr>
            <w:rStyle w:val="Hyperlink"/>
            <w:noProof/>
          </w:rPr>
          <w:t>Food technology assessment</w:t>
        </w:r>
        <w:r w:rsidR="00117FFA">
          <w:rPr>
            <w:noProof/>
            <w:webHidden/>
          </w:rPr>
          <w:tab/>
        </w:r>
        <w:r w:rsidR="00117FFA">
          <w:rPr>
            <w:noProof/>
            <w:webHidden/>
          </w:rPr>
          <w:fldChar w:fldCharType="begin"/>
        </w:r>
        <w:r w:rsidR="00117FFA">
          <w:rPr>
            <w:noProof/>
            <w:webHidden/>
          </w:rPr>
          <w:instrText xml:space="preserve"> PAGEREF _Toc107222993 \h </w:instrText>
        </w:r>
        <w:r w:rsidR="00117FFA">
          <w:rPr>
            <w:noProof/>
            <w:webHidden/>
          </w:rPr>
        </w:r>
        <w:r w:rsidR="00117FFA">
          <w:rPr>
            <w:noProof/>
            <w:webHidden/>
          </w:rPr>
          <w:fldChar w:fldCharType="separate"/>
        </w:r>
        <w:r w:rsidR="00117FFA">
          <w:rPr>
            <w:noProof/>
            <w:webHidden/>
          </w:rPr>
          <w:t>2</w:t>
        </w:r>
        <w:r w:rsidR="00117FFA">
          <w:rPr>
            <w:noProof/>
            <w:webHidden/>
          </w:rPr>
          <w:fldChar w:fldCharType="end"/>
        </w:r>
      </w:hyperlink>
    </w:p>
    <w:p w14:paraId="5158D36E" w14:textId="7FD8E48D"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2994" w:history="1">
        <w:r w:rsidR="00117FFA" w:rsidRPr="00E517D8">
          <w:rPr>
            <w:rStyle w:val="Hyperlink"/>
            <w:rFonts w:cs="Arial"/>
            <w:b/>
            <w:bCs/>
            <w:noProof/>
          </w:rPr>
          <w:t>2.1</w:t>
        </w:r>
        <w:r w:rsidR="00117FFA">
          <w:rPr>
            <w:rFonts w:eastAsiaTheme="minorEastAsia" w:cstheme="minorBidi"/>
            <w:smallCaps w:val="0"/>
            <w:noProof/>
            <w:sz w:val="22"/>
            <w:szCs w:val="22"/>
            <w:lang w:eastAsia="en-GB" w:bidi="ar-SA"/>
          </w:rPr>
          <w:tab/>
        </w:r>
        <w:r w:rsidR="00117FFA" w:rsidRPr="00E517D8">
          <w:rPr>
            <w:rStyle w:val="Hyperlink"/>
            <w:rFonts w:cs="Arial"/>
            <w:b/>
            <w:bCs/>
            <w:noProof/>
          </w:rPr>
          <w:t>Characterisation of the enzyme</w:t>
        </w:r>
        <w:r w:rsidR="00117FFA">
          <w:rPr>
            <w:noProof/>
            <w:webHidden/>
          </w:rPr>
          <w:tab/>
        </w:r>
        <w:r w:rsidR="00117FFA">
          <w:rPr>
            <w:noProof/>
            <w:webHidden/>
          </w:rPr>
          <w:fldChar w:fldCharType="begin"/>
        </w:r>
        <w:r w:rsidR="00117FFA">
          <w:rPr>
            <w:noProof/>
            <w:webHidden/>
          </w:rPr>
          <w:instrText xml:space="preserve"> PAGEREF _Toc107222994 \h </w:instrText>
        </w:r>
        <w:r w:rsidR="00117FFA">
          <w:rPr>
            <w:noProof/>
            <w:webHidden/>
          </w:rPr>
        </w:r>
        <w:r w:rsidR="00117FFA">
          <w:rPr>
            <w:noProof/>
            <w:webHidden/>
          </w:rPr>
          <w:fldChar w:fldCharType="separate"/>
        </w:r>
        <w:r w:rsidR="00117FFA">
          <w:rPr>
            <w:noProof/>
            <w:webHidden/>
          </w:rPr>
          <w:t>2</w:t>
        </w:r>
        <w:r w:rsidR="00117FFA">
          <w:rPr>
            <w:noProof/>
            <w:webHidden/>
          </w:rPr>
          <w:fldChar w:fldCharType="end"/>
        </w:r>
      </w:hyperlink>
    </w:p>
    <w:p w14:paraId="57B3F9BA" w14:textId="29CC3E28"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2995" w:history="1">
        <w:r w:rsidR="00117FFA" w:rsidRPr="00E517D8">
          <w:rPr>
            <w:rStyle w:val="Hyperlink"/>
            <w:b/>
            <w:bCs/>
            <w:noProof/>
            <w:lang w:eastAsia="en-AU"/>
          </w:rPr>
          <w:t>2.2.1</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Production of the enzyme</w:t>
        </w:r>
        <w:r w:rsidR="00117FFA">
          <w:rPr>
            <w:noProof/>
            <w:webHidden/>
          </w:rPr>
          <w:tab/>
        </w:r>
        <w:r w:rsidR="00117FFA">
          <w:rPr>
            <w:noProof/>
            <w:webHidden/>
          </w:rPr>
          <w:fldChar w:fldCharType="begin"/>
        </w:r>
        <w:r w:rsidR="00117FFA">
          <w:rPr>
            <w:noProof/>
            <w:webHidden/>
          </w:rPr>
          <w:instrText xml:space="preserve"> PAGEREF _Toc107222995 \h </w:instrText>
        </w:r>
        <w:r w:rsidR="00117FFA">
          <w:rPr>
            <w:noProof/>
            <w:webHidden/>
          </w:rPr>
        </w:r>
        <w:r w:rsidR="00117FFA">
          <w:rPr>
            <w:noProof/>
            <w:webHidden/>
          </w:rPr>
          <w:fldChar w:fldCharType="separate"/>
        </w:r>
        <w:r w:rsidR="00117FFA">
          <w:rPr>
            <w:noProof/>
            <w:webHidden/>
          </w:rPr>
          <w:t>3</w:t>
        </w:r>
        <w:r w:rsidR="00117FFA">
          <w:rPr>
            <w:noProof/>
            <w:webHidden/>
          </w:rPr>
          <w:fldChar w:fldCharType="end"/>
        </w:r>
      </w:hyperlink>
    </w:p>
    <w:p w14:paraId="2E803B73" w14:textId="4A71CFD5"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2996" w:history="1">
        <w:r w:rsidR="00117FFA" w:rsidRPr="00E517D8">
          <w:rPr>
            <w:rStyle w:val="Hyperlink"/>
            <w:b/>
            <w:bCs/>
            <w:noProof/>
            <w:lang w:eastAsia="en-AU"/>
          </w:rPr>
          <w:t>2.2.2</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Allergen considerations</w:t>
        </w:r>
        <w:r w:rsidR="00117FFA">
          <w:rPr>
            <w:noProof/>
            <w:webHidden/>
          </w:rPr>
          <w:tab/>
        </w:r>
        <w:r w:rsidR="00117FFA">
          <w:rPr>
            <w:noProof/>
            <w:webHidden/>
          </w:rPr>
          <w:fldChar w:fldCharType="begin"/>
        </w:r>
        <w:r w:rsidR="00117FFA">
          <w:rPr>
            <w:noProof/>
            <w:webHidden/>
          </w:rPr>
          <w:instrText xml:space="preserve"> PAGEREF _Toc107222996 \h </w:instrText>
        </w:r>
        <w:r w:rsidR="00117FFA">
          <w:rPr>
            <w:noProof/>
            <w:webHidden/>
          </w:rPr>
        </w:r>
        <w:r w:rsidR="00117FFA">
          <w:rPr>
            <w:noProof/>
            <w:webHidden/>
          </w:rPr>
          <w:fldChar w:fldCharType="separate"/>
        </w:r>
        <w:r w:rsidR="00117FFA">
          <w:rPr>
            <w:noProof/>
            <w:webHidden/>
          </w:rPr>
          <w:t>3</w:t>
        </w:r>
        <w:r w:rsidR="00117FFA">
          <w:rPr>
            <w:noProof/>
            <w:webHidden/>
          </w:rPr>
          <w:fldChar w:fldCharType="end"/>
        </w:r>
      </w:hyperlink>
    </w:p>
    <w:p w14:paraId="08756D51" w14:textId="3252236D"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2997" w:history="1">
        <w:r w:rsidR="00117FFA" w:rsidRPr="00E517D8">
          <w:rPr>
            <w:rStyle w:val="Hyperlink"/>
            <w:b/>
            <w:bCs/>
            <w:noProof/>
            <w:lang w:eastAsia="en-AU"/>
          </w:rPr>
          <w:t>2.2.3</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Specifications</w:t>
        </w:r>
        <w:r w:rsidR="00117FFA">
          <w:rPr>
            <w:noProof/>
            <w:webHidden/>
          </w:rPr>
          <w:tab/>
        </w:r>
        <w:r w:rsidR="00117FFA">
          <w:rPr>
            <w:noProof/>
            <w:webHidden/>
          </w:rPr>
          <w:fldChar w:fldCharType="begin"/>
        </w:r>
        <w:r w:rsidR="00117FFA">
          <w:rPr>
            <w:noProof/>
            <w:webHidden/>
          </w:rPr>
          <w:instrText xml:space="preserve"> PAGEREF _Toc107222997 \h </w:instrText>
        </w:r>
        <w:r w:rsidR="00117FFA">
          <w:rPr>
            <w:noProof/>
            <w:webHidden/>
          </w:rPr>
        </w:r>
        <w:r w:rsidR="00117FFA">
          <w:rPr>
            <w:noProof/>
            <w:webHidden/>
          </w:rPr>
          <w:fldChar w:fldCharType="separate"/>
        </w:r>
        <w:r w:rsidR="00117FFA">
          <w:rPr>
            <w:noProof/>
            <w:webHidden/>
          </w:rPr>
          <w:t>3</w:t>
        </w:r>
        <w:r w:rsidR="00117FFA">
          <w:rPr>
            <w:noProof/>
            <w:webHidden/>
          </w:rPr>
          <w:fldChar w:fldCharType="end"/>
        </w:r>
      </w:hyperlink>
    </w:p>
    <w:p w14:paraId="1BEF7B4B" w14:textId="49160D23"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2998" w:history="1">
        <w:r w:rsidR="00117FFA" w:rsidRPr="00E517D8">
          <w:rPr>
            <w:rStyle w:val="Hyperlink"/>
            <w:rFonts w:cs="Arial"/>
            <w:b/>
            <w:bCs/>
            <w:noProof/>
          </w:rPr>
          <w:t>2.3</w:t>
        </w:r>
        <w:r w:rsidR="00117FFA">
          <w:rPr>
            <w:rFonts w:eastAsiaTheme="minorEastAsia" w:cstheme="minorBidi"/>
            <w:smallCaps w:val="0"/>
            <w:noProof/>
            <w:sz w:val="22"/>
            <w:szCs w:val="22"/>
            <w:lang w:eastAsia="en-GB" w:bidi="ar-SA"/>
          </w:rPr>
          <w:tab/>
        </w:r>
        <w:r w:rsidR="00117FFA" w:rsidRPr="00E517D8">
          <w:rPr>
            <w:rStyle w:val="Hyperlink"/>
            <w:rFonts w:cs="Arial"/>
            <w:b/>
            <w:bCs/>
            <w:noProof/>
          </w:rPr>
          <w:t>Technological purpose of the enzyme</w:t>
        </w:r>
        <w:r w:rsidR="00117FFA">
          <w:rPr>
            <w:noProof/>
            <w:webHidden/>
          </w:rPr>
          <w:tab/>
        </w:r>
        <w:r w:rsidR="00117FFA">
          <w:rPr>
            <w:noProof/>
            <w:webHidden/>
          </w:rPr>
          <w:fldChar w:fldCharType="begin"/>
        </w:r>
        <w:r w:rsidR="00117FFA">
          <w:rPr>
            <w:noProof/>
            <w:webHidden/>
          </w:rPr>
          <w:instrText xml:space="preserve"> PAGEREF _Toc107222998 \h </w:instrText>
        </w:r>
        <w:r w:rsidR="00117FFA">
          <w:rPr>
            <w:noProof/>
            <w:webHidden/>
          </w:rPr>
        </w:r>
        <w:r w:rsidR="00117FFA">
          <w:rPr>
            <w:noProof/>
            <w:webHidden/>
          </w:rPr>
          <w:fldChar w:fldCharType="separate"/>
        </w:r>
        <w:r w:rsidR="00117FFA">
          <w:rPr>
            <w:noProof/>
            <w:webHidden/>
          </w:rPr>
          <w:t>4</w:t>
        </w:r>
        <w:r w:rsidR="00117FFA">
          <w:rPr>
            <w:noProof/>
            <w:webHidden/>
          </w:rPr>
          <w:fldChar w:fldCharType="end"/>
        </w:r>
      </w:hyperlink>
    </w:p>
    <w:p w14:paraId="4D59AEEF" w14:textId="2F145EE7"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2999" w:history="1">
        <w:r w:rsidR="00117FFA" w:rsidRPr="00E517D8">
          <w:rPr>
            <w:rStyle w:val="Hyperlink"/>
            <w:rFonts w:cs="Arial"/>
            <w:b/>
            <w:bCs/>
            <w:noProof/>
          </w:rPr>
          <w:t>2.4</w:t>
        </w:r>
        <w:r w:rsidR="00117FFA">
          <w:rPr>
            <w:rFonts w:eastAsiaTheme="minorEastAsia" w:cstheme="minorBidi"/>
            <w:smallCaps w:val="0"/>
            <w:noProof/>
            <w:sz w:val="22"/>
            <w:szCs w:val="22"/>
            <w:lang w:eastAsia="en-GB" w:bidi="ar-SA"/>
          </w:rPr>
          <w:tab/>
        </w:r>
        <w:r w:rsidR="00117FFA" w:rsidRPr="00E517D8">
          <w:rPr>
            <w:rStyle w:val="Hyperlink"/>
            <w:rFonts w:cs="Arial"/>
            <w:b/>
            <w:bCs/>
            <w:noProof/>
          </w:rPr>
          <w:t>Technological justification</w:t>
        </w:r>
        <w:r w:rsidR="00117FFA">
          <w:rPr>
            <w:noProof/>
            <w:webHidden/>
          </w:rPr>
          <w:tab/>
        </w:r>
        <w:r w:rsidR="00117FFA">
          <w:rPr>
            <w:noProof/>
            <w:webHidden/>
          </w:rPr>
          <w:fldChar w:fldCharType="begin"/>
        </w:r>
        <w:r w:rsidR="00117FFA">
          <w:rPr>
            <w:noProof/>
            <w:webHidden/>
          </w:rPr>
          <w:instrText xml:space="preserve"> PAGEREF _Toc107222999 \h </w:instrText>
        </w:r>
        <w:r w:rsidR="00117FFA">
          <w:rPr>
            <w:noProof/>
            <w:webHidden/>
          </w:rPr>
        </w:r>
        <w:r w:rsidR="00117FFA">
          <w:rPr>
            <w:noProof/>
            <w:webHidden/>
          </w:rPr>
          <w:fldChar w:fldCharType="separate"/>
        </w:r>
        <w:r w:rsidR="00117FFA">
          <w:rPr>
            <w:noProof/>
            <w:webHidden/>
          </w:rPr>
          <w:t>5</w:t>
        </w:r>
        <w:r w:rsidR="00117FFA">
          <w:rPr>
            <w:noProof/>
            <w:webHidden/>
          </w:rPr>
          <w:fldChar w:fldCharType="end"/>
        </w:r>
      </w:hyperlink>
    </w:p>
    <w:p w14:paraId="0498D3A1" w14:textId="5AB64CDF"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3000" w:history="1">
        <w:r w:rsidR="00117FFA" w:rsidRPr="00E517D8">
          <w:rPr>
            <w:rStyle w:val="Hyperlink"/>
            <w:rFonts w:cs="Arial"/>
            <w:b/>
            <w:bCs/>
            <w:noProof/>
          </w:rPr>
          <w:t>2.5</w:t>
        </w:r>
        <w:r w:rsidR="00117FFA">
          <w:rPr>
            <w:rFonts w:eastAsiaTheme="minorEastAsia" w:cstheme="minorBidi"/>
            <w:smallCaps w:val="0"/>
            <w:noProof/>
            <w:sz w:val="22"/>
            <w:szCs w:val="22"/>
            <w:lang w:eastAsia="en-GB" w:bidi="ar-SA"/>
          </w:rPr>
          <w:tab/>
        </w:r>
        <w:r w:rsidR="00117FFA" w:rsidRPr="00E517D8">
          <w:rPr>
            <w:rStyle w:val="Hyperlink"/>
            <w:rFonts w:cs="Arial"/>
            <w:b/>
            <w:bCs/>
            <w:noProof/>
          </w:rPr>
          <w:t>Food technology conclusion</w:t>
        </w:r>
        <w:r w:rsidR="00117FFA">
          <w:rPr>
            <w:noProof/>
            <w:webHidden/>
          </w:rPr>
          <w:tab/>
        </w:r>
        <w:r w:rsidR="00117FFA">
          <w:rPr>
            <w:noProof/>
            <w:webHidden/>
          </w:rPr>
          <w:fldChar w:fldCharType="begin"/>
        </w:r>
        <w:r w:rsidR="00117FFA">
          <w:rPr>
            <w:noProof/>
            <w:webHidden/>
          </w:rPr>
          <w:instrText xml:space="preserve"> PAGEREF _Toc107223000 \h </w:instrText>
        </w:r>
        <w:r w:rsidR="00117FFA">
          <w:rPr>
            <w:noProof/>
            <w:webHidden/>
          </w:rPr>
        </w:r>
        <w:r w:rsidR="00117FFA">
          <w:rPr>
            <w:noProof/>
            <w:webHidden/>
          </w:rPr>
          <w:fldChar w:fldCharType="separate"/>
        </w:r>
        <w:r w:rsidR="00117FFA">
          <w:rPr>
            <w:noProof/>
            <w:webHidden/>
          </w:rPr>
          <w:t>6</w:t>
        </w:r>
        <w:r w:rsidR="00117FFA">
          <w:rPr>
            <w:noProof/>
            <w:webHidden/>
          </w:rPr>
          <w:fldChar w:fldCharType="end"/>
        </w:r>
      </w:hyperlink>
    </w:p>
    <w:p w14:paraId="75FB81EE" w14:textId="571272D9" w:rsidR="00117FFA" w:rsidRDefault="00067F54">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7223001" w:history="1">
        <w:r w:rsidR="00117FFA" w:rsidRPr="00E517D8">
          <w:rPr>
            <w:rStyle w:val="Hyperlink"/>
            <w:noProof/>
          </w:rPr>
          <w:t>3</w:t>
        </w:r>
        <w:r w:rsidR="00117FFA">
          <w:rPr>
            <w:rFonts w:eastAsiaTheme="minorEastAsia" w:cstheme="minorBidi"/>
            <w:b w:val="0"/>
            <w:bCs w:val="0"/>
            <w:caps w:val="0"/>
            <w:noProof/>
            <w:sz w:val="22"/>
            <w:szCs w:val="22"/>
            <w:lang w:eastAsia="en-GB" w:bidi="ar-SA"/>
          </w:rPr>
          <w:tab/>
        </w:r>
        <w:r w:rsidR="00117FFA" w:rsidRPr="00E517D8">
          <w:rPr>
            <w:rStyle w:val="Hyperlink"/>
            <w:noProof/>
          </w:rPr>
          <w:t>Safety assessment</w:t>
        </w:r>
        <w:r w:rsidR="00117FFA">
          <w:rPr>
            <w:noProof/>
            <w:webHidden/>
          </w:rPr>
          <w:tab/>
        </w:r>
        <w:r w:rsidR="00117FFA">
          <w:rPr>
            <w:noProof/>
            <w:webHidden/>
          </w:rPr>
          <w:fldChar w:fldCharType="begin"/>
        </w:r>
        <w:r w:rsidR="00117FFA">
          <w:rPr>
            <w:noProof/>
            <w:webHidden/>
          </w:rPr>
          <w:instrText xml:space="preserve"> PAGEREF _Toc107223001 \h </w:instrText>
        </w:r>
        <w:r w:rsidR="00117FFA">
          <w:rPr>
            <w:noProof/>
            <w:webHidden/>
          </w:rPr>
        </w:r>
        <w:r w:rsidR="00117FFA">
          <w:rPr>
            <w:noProof/>
            <w:webHidden/>
          </w:rPr>
          <w:fldChar w:fldCharType="separate"/>
        </w:r>
        <w:r w:rsidR="00117FFA">
          <w:rPr>
            <w:noProof/>
            <w:webHidden/>
          </w:rPr>
          <w:t>6</w:t>
        </w:r>
        <w:r w:rsidR="00117FFA">
          <w:rPr>
            <w:noProof/>
            <w:webHidden/>
          </w:rPr>
          <w:fldChar w:fldCharType="end"/>
        </w:r>
      </w:hyperlink>
    </w:p>
    <w:p w14:paraId="4CB47B60" w14:textId="18DCD137"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3002" w:history="1">
        <w:r w:rsidR="00117FFA" w:rsidRPr="00E517D8">
          <w:rPr>
            <w:rStyle w:val="Hyperlink"/>
            <w:rFonts w:cs="Arial"/>
            <w:b/>
            <w:bCs/>
            <w:noProof/>
          </w:rPr>
          <w:t>3.1</w:t>
        </w:r>
        <w:r w:rsidR="00117FFA">
          <w:rPr>
            <w:rFonts w:eastAsiaTheme="minorEastAsia" w:cstheme="minorBidi"/>
            <w:smallCaps w:val="0"/>
            <w:noProof/>
            <w:sz w:val="22"/>
            <w:szCs w:val="22"/>
            <w:lang w:eastAsia="en-GB" w:bidi="ar-SA"/>
          </w:rPr>
          <w:tab/>
        </w:r>
        <w:r w:rsidR="00117FFA" w:rsidRPr="00E517D8">
          <w:rPr>
            <w:rStyle w:val="Hyperlink"/>
            <w:rFonts w:cs="Arial"/>
            <w:b/>
            <w:bCs/>
            <w:noProof/>
          </w:rPr>
          <w:t>History of use</w:t>
        </w:r>
        <w:r w:rsidR="00117FFA">
          <w:rPr>
            <w:noProof/>
            <w:webHidden/>
          </w:rPr>
          <w:tab/>
        </w:r>
        <w:r w:rsidR="00117FFA">
          <w:rPr>
            <w:noProof/>
            <w:webHidden/>
          </w:rPr>
          <w:fldChar w:fldCharType="begin"/>
        </w:r>
        <w:r w:rsidR="00117FFA">
          <w:rPr>
            <w:noProof/>
            <w:webHidden/>
          </w:rPr>
          <w:instrText xml:space="preserve"> PAGEREF _Toc107223002 \h </w:instrText>
        </w:r>
        <w:r w:rsidR="00117FFA">
          <w:rPr>
            <w:noProof/>
            <w:webHidden/>
          </w:rPr>
        </w:r>
        <w:r w:rsidR="00117FFA">
          <w:rPr>
            <w:noProof/>
            <w:webHidden/>
          </w:rPr>
          <w:fldChar w:fldCharType="separate"/>
        </w:r>
        <w:r w:rsidR="00117FFA">
          <w:rPr>
            <w:noProof/>
            <w:webHidden/>
          </w:rPr>
          <w:t>6</w:t>
        </w:r>
        <w:r w:rsidR="00117FFA">
          <w:rPr>
            <w:noProof/>
            <w:webHidden/>
          </w:rPr>
          <w:fldChar w:fldCharType="end"/>
        </w:r>
      </w:hyperlink>
    </w:p>
    <w:p w14:paraId="42EDEBB7" w14:textId="2A2D92C6"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03" w:history="1">
        <w:r w:rsidR="00117FFA" w:rsidRPr="00E517D8">
          <w:rPr>
            <w:rStyle w:val="Hyperlink"/>
            <w:b/>
            <w:bCs/>
            <w:noProof/>
            <w:lang w:eastAsia="en-AU"/>
          </w:rPr>
          <w:t>3.1.1</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Host organism</w:t>
        </w:r>
        <w:r w:rsidR="00117FFA">
          <w:rPr>
            <w:noProof/>
            <w:webHidden/>
          </w:rPr>
          <w:tab/>
        </w:r>
        <w:r w:rsidR="00117FFA">
          <w:rPr>
            <w:noProof/>
            <w:webHidden/>
          </w:rPr>
          <w:fldChar w:fldCharType="begin"/>
        </w:r>
        <w:r w:rsidR="00117FFA">
          <w:rPr>
            <w:noProof/>
            <w:webHidden/>
          </w:rPr>
          <w:instrText xml:space="preserve"> PAGEREF _Toc107223003 \h </w:instrText>
        </w:r>
        <w:r w:rsidR="00117FFA">
          <w:rPr>
            <w:noProof/>
            <w:webHidden/>
          </w:rPr>
        </w:r>
        <w:r w:rsidR="00117FFA">
          <w:rPr>
            <w:noProof/>
            <w:webHidden/>
          </w:rPr>
          <w:fldChar w:fldCharType="separate"/>
        </w:r>
        <w:r w:rsidR="00117FFA">
          <w:rPr>
            <w:noProof/>
            <w:webHidden/>
          </w:rPr>
          <w:t>6</w:t>
        </w:r>
        <w:r w:rsidR="00117FFA">
          <w:rPr>
            <w:noProof/>
            <w:webHidden/>
          </w:rPr>
          <w:fldChar w:fldCharType="end"/>
        </w:r>
      </w:hyperlink>
    </w:p>
    <w:p w14:paraId="3C789D27" w14:textId="22A035D7"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04" w:history="1">
        <w:r w:rsidR="00117FFA" w:rsidRPr="00E517D8">
          <w:rPr>
            <w:rStyle w:val="Hyperlink"/>
            <w:b/>
            <w:bCs/>
            <w:noProof/>
            <w:lang w:eastAsia="en-AU"/>
          </w:rPr>
          <w:t>3.1.2</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Gene donor organisms</w:t>
        </w:r>
        <w:r w:rsidR="00117FFA">
          <w:rPr>
            <w:noProof/>
            <w:webHidden/>
          </w:rPr>
          <w:tab/>
        </w:r>
        <w:r w:rsidR="00117FFA">
          <w:rPr>
            <w:noProof/>
            <w:webHidden/>
          </w:rPr>
          <w:fldChar w:fldCharType="begin"/>
        </w:r>
        <w:r w:rsidR="00117FFA">
          <w:rPr>
            <w:noProof/>
            <w:webHidden/>
          </w:rPr>
          <w:instrText xml:space="preserve"> PAGEREF _Toc107223004 \h </w:instrText>
        </w:r>
        <w:r w:rsidR="00117FFA">
          <w:rPr>
            <w:noProof/>
            <w:webHidden/>
          </w:rPr>
        </w:r>
        <w:r w:rsidR="00117FFA">
          <w:rPr>
            <w:noProof/>
            <w:webHidden/>
          </w:rPr>
          <w:fldChar w:fldCharType="separate"/>
        </w:r>
        <w:r w:rsidR="00117FFA">
          <w:rPr>
            <w:noProof/>
            <w:webHidden/>
          </w:rPr>
          <w:t>6</w:t>
        </w:r>
        <w:r w:rsidR="00117FFA">
          <w:rPr>
            <w:noProof/>
            <w:webHidden/>
          </w:rPr>
          <w:fldChar w:fldCharType="end"/>
        </w:r>
      </w:hyperlink>
    </w:p>
    <w:p w14:paraId="7A31BA8E" w14:textId="47A82636"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3005" w:history="1">
        <w:r w:rsidR="00117FFA" w:rsidRPr="00E517D8">
          <w:rPr>
            <w:rStyle w:val="Hyperlink"/>
            <w:rFonts w:cs="Arial"/>
            <w:b/>
            <w:bCs/>
            <w:noProof/>
          </w:rPr>
          <w:t>3.2</w:t>
        </w:r>
        <w:r w:rsidR="00117FFA">
          <w:rPr>
            <w:rFonts w:eastAsiaTheme="minorEastAsia" w:cstheme="minorBidi"/>
            <w:smallCaps w:val="0"/>
            <w:noProof/>
            <w:sz w:val="22"/>
            <w:szCs w:val="22"/>
            <w:lang w:eastAsia="en-GB" w:bidi="ar-SA"/>
          </w:rPr>
          <w:tab/>
        </w:r>
        <w:r w:rsidR="00117FFA" w:rsidRPr="00E517D8">
          <w:rPr>
            <w:rStyle w:val="Hyperlink"/>
            <w:rFonts w:cs="Arial"/>
            <w:b/>
            <w:bCs/>
            <w:noProof/>
          </w:rPr>
          <w:t>Characterisation of the genetic modification(s)</w:t>
        </w:r>
        <w:r w:rsidR="00117FFA">
          <w:rPr>
            <w:noProof/>
            <w:webHidden/>
          </w:rPr>
          <w:tab/>
        </w:r>
        <w:r w:rsidR="00117FFA">
          <w:rPr>
            <w:noProof/>
            <w:webHidden/>
          </w:rPr>
          <w:fldChar w:fldCharType="begin"/>
        </w:r>
        <w:r w:rsidR="00117FFA">
          <w:rPr>
            <w:noProof/>
            <w:webHidden/>
          </w:rPr>
          <w:instrText xml:space="preserve"> PAGEREF _Toc107223005 \h </w:instrText>
        </w:r>
        <w:r w:rsidR="00117FFA">
          <w:rPr>
            <w:noProof/>
            <w:webHidden/>
          </w:rPr>
        </w:r>
        <w:r w:rsidR="00117FFA">
          <w:rPr>
            <w:noProof/>
            <w:webHidden/>
          </w:rPr>
          <w:fldChar w:fldCharType="separate"/>
        </w:r>
        <w:r w:rsidR="00117FFA">
          <w:rPr>
            <w:noProof/>
            <w:webHidden/>
          </w:rPr>
          <w:t>7</w:t>
        </w:r>
        <w:r w:rsidR="00117FFA">
          <w:rPr>
            <w:noProof/>
            <w:webHidden/>
          </w:rPr>
          <w:fldChar w:fldCharType="end"/>
        </w:r>
      </w:hyperlink>
    </w:p>
    <w:p w14:paraId="60CECE2C" w14:textId="17341E25"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06" w:history="1">
        <w:r w:rsidR="00117FFA" w:rsidRPr="00E517D8">
          <w:rPr>
            <w:rStyle w:val="Hyperlink"/>
            <w:b/>
            <w:bCs/>
            <w:noProof/>
            <w:lang w:eastAsia="en-AU"/>
          </w:rPr>
          <w:t>3.2.1</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Description of the DNA to be introduced and method of transformation</w:t>
        </w:r>
        <w:r w:rsidR="00117FFA">
          <w:rPr>
            <w:noProof/>
            <w:webHidden/>
          </w:rPr>
          <w:tab/>
        </w:r>
        <w:r w:rsidR="00117FFA">
          <w:rPr>
            <w:noProof/>
            <w:webHidden/>
          </w:rPr>
          <w:fldChar w:fldCharType="begin"/>
        </w:r>
        <w:r w:rsidR="00117FFA">
          <w:rPr>
            <w:noProof/>
            <w:webHidden/>
          </w:rPr>
          <w:instrText xml:space="preserve"> PAGEREF _Toc107223006 \h </w:instrText>
        </w:r>
        <w:r w:rsidR="00117FFA">
          <w:rPr>
            <w:noProof/>
            <w:webHidden/>
          </w:rPr>
        </w:r>
        <w:r w:rsidR="00117FFA">
          <w:rPr>
            <w:noProof/>
            <w:webHidden/>
          </w:rPr>
          <w:fldChar w:fldCharType="separate"/>
        </w:r>
        <w:r w:rsidR="00117FFA">
          <w:rPr>
            <w:noProof/>
            <w:webHidden/>
          </w:rPr>
          <w:t>7</w:t>
        </w:r>
        <w:r w:rsidR="00117FFA">
          <w:rPr>
            <w:noProof/>
            <w:webHidden/>
          </w:rPr>
          <w:fldChar w:fldCharType="end"/>
        </w:r>
      </w:hyperlink>
    </w:p>
    <w:p w14:paraId="78C86019" w14:textId="7BE36A8C"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07" w:history="1">
        <w:r w:rsidR="00117FFA" w:rsidRPr="00E517D8">
          <w:rPr>
            <w:rStyle w:val="Hyperlink"/>
            <w:b/>
            <w:bCs/>
            <w:noProof/>
            <w:lang w:eastAsia="en-AU"/>
          </w:rPr>
          <w:t>3.2.2</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Characterisation of inserted DNA</w:t>
        </w:r>
        <w:r w:rsidR="00117FFA">
          <w:rPr>
            <w:noProof/>
            <w:webHidden/>
          </w:rPr>
          <w:tab/>
        </w:r>
        <w:r w:rsidR="00117FFA">
          <w:rPr>
            <w:noProof/>
            <w:webHidden/>
          </w:rPr>
          <w:fldChar w:fldCharType="begin"/>
        </w:r>
        <w:r w:rsidR="00117FFA">
          <w:rPr>
            <w:noProof/>
            <w:webHidden/>
          </w:rPr>
          <w:instrText xml:space="preserve"> PAGEREF _Toc107223007 \h </w:instrText>
        </w:r>
        <w:r w:rsidR="00117FFA">
          <w:rPr>
            <w:noProof/>
            <w:webHidden/>
          </w:rPr>
        </w:r>
        <w:r w:rsidR="00117FFA">
          <w:rPr>
            <w:noProof/>
            <w:webHidden/>
          </w:rPr>
          <w:fldChar w:fldCharType="separate"/>
        </w:r>
        <w:r w:rsidR="00117FFA">
          <w:rPr>
            <w:noProof/>
            <w:webHidden/>
          </w:rPr>
          <w:t>7</w:t>
        </w:r>
        <w:r w:rsidR="00117FFA">
          <w:rPr>
            <w:noProof/>
            <w:webHidden/>
          </w:rPr>
          <w:fldChar w:fldCharType="end"/>
        </w:r>
      </w:hyperlink>
    </w:p>
    <w:p w14:paraId="3A1B916C" w14:textId="0E06BCD7"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08" w:history="1">
        <w:r w:rsidR="00117FFA" w:rsidRPr="00E517D8">
          <w:rPr>
            <w:rStyle w:val="Hyperlink"/>
            <w:b/>
            <w:bCs/>
            <w:noProof/>
            <w:lang w:eastAsia="en-AU"/>
          </w:rPr>
          <w:t>3.2.3</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Genetic stability of the inserted gene</w:t>
        </w:r>
        <w:r w:rsidR="00117FFA">
          <w:rPr>
            <w:noProof/>
            <w:webHidden/>
          </w:rPr>
          <w:tab/>
        </w:r>
        <w:r w:rsidR="00117FFA">
          <w:rPr>
            <w:noProof/>
            <w:webHidden/>
          </w:rPr>
          <w:fldChar w:fldCharType="begin"/>
        </w:r>
        <w:r w:rsidR="00117FFA">
          <w:rPr>
            <w:noProof/>
            <w:webHidden/>
          </w:rPr>
          <w:instrText xml:space="preserve"> PAGEREF _Toc107223008 \h </w:instrText>
        </w:r>
        <w:r w:rsidR="00117FFA">
          <w:rPr>
            <w:noProof/>
            <w:webHidden/>
          </w:rPr>
        </w:r>
        <w:r w:rsidR="00117FFA">
          <w:rPr>
            <w:noProof/>
            <w:webHidden/>
          </w:rPr>
          <w:fldChar w:fldCharType="separate"/>
        </w:r>
        <w:r w:rsidR="00117FFA">
          <w:rPr>
            <w:noProof/>
            <w:webHidden/>
          </w:rPr>
          <w:t>7</w:t>
        </w:r>
        <w:r w:rsidR="00117FFA">
          <w:rPr>
            <w:noProof/>
            <w:webHidden/>
          </w:rPr>
          <w:fldChar w:fldCharType="end"/>
        </w:r>
      </w:hyperlink>
    </w:p>
    <w:p w14:paraId="4EA6BD44" w14:textId="7F8D20B7"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3009" w:history="1">
        <w:r w:rsidR="00117FFA" w:rsidRPr="00E517D8">
          <w:rPr>
            <w:rStyle w:val="Hyperlink"/>
            <w:rFonts w:cs="Arial"/>
            <w:b/>
            <w:bCs/>
            <w:noProof/>
          </w:rPr>
          <w:t>3.3</w:t>
        </w:r>
        <w:r w:rsidR="00117FFA">
          <w:rPr>
            <w:rFonts w:eastAsiaTheme="minorEastAsia" w:cstheme="minorBidi"/>
            <w:smallCaps w:val="0"/>
            <w:noProof/>
            <w:sz w:val="22"/>
            <w:szCs w:val="22"/>
            <w:lang w:eastAsia="en-GB" w:bidi="ar-SA"/>
          </w:rPr>
          <w:tab/>
        </w:r>
        <w:r w:rsidR="00117FFA" w:rsidRPr="00E517D8">
          <w:rPr>
            <w:rStyle w:val="Hyperlink"/>
            <w:rFonts w:cs="Arial"/>
            <w:b/>
            <w:bCs/>
            <w:noProof/>
          </w:rPr>
          <w:t>Safety of the enzyme</w:t>
        </w:r>
        <w:r w:rsidR="00117FFA">
          <w:rPr>
            <w:noProof/>
            <w:webHidden/>
          </w:rPr>
          <w:tab/>
        </w:r>
        <w:r w:rsidR="00117FFA">
          <w:rPr>
            <w:noProof/>
            <w:webHidden/>
          </w:rPr>
          <w:fldChar w:fldCharType="begin"/>
        </w:r>
        <w:r w:rsidR="00117FFA">
          <w:rPr>
            <w:noProof/>
            <w:webHidden/>
          </w:rPr>
          <w:instrText xml:space="preserve"> PAGEREF _Toc107223009 \h </w:instrText>
        </w:r>
        <w:r w:rsidR="00117FFA">
          <w:rPr>
            <w:noProof/>
            <w:webHidden/>
          </w:rPr>
        </w:r>
        <w:r w:rsidR="00117FFA">
          <w:rPr>
            <w:noProof/>
            <w:webHidden/>
          </w:rPr>
          <w:fldChar w:fldCharType="separate"/>
        </w:r>
        <w:r w:rsidR="00117FFA">
          <w:rPr>
            <w:noProof/>
            <w:webHidden/>
          </w:rPr>
          <w:t>7</w:t>
        </w:r>
        <w:r w:rsidR="00117FFA">
          <w:rPr>
            <w:noProof/>
            <w:webHidden/>
          </w:rPr>
          <w:fldChar w:fldCharType="end"/>
        </w:r>
      </w:hyperlink>
    </w:p>
    <w:p w14:paraId="6DB7BC28" w14:textId="782FA25A"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10" w:history="1">
        <w:r w:rsidR="00117FFA" w:rsidRPr="00E517D8">
          <w:rPr>
            <w:rStyle w:val="Hyperlink"/>
            <w:b/>
            <w:bCs/>
            <w:noProof/>
            <w:lang w:eastAsia="en-AU"/>
          </w:rPr>
          <w:t>3.3.1</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History of safe use</w:t>
        </w:r>
        <w:r w:rsidR="00117FFA">
          <w:rPr>
            <w:noProof/>
            <w:webHidden/>
          </w:rPr>
          <w:tab/>
        </w:r>
        <w:r w:rsidR="00117FFA">
          <w:rPr>
            <w:noProof/>
            <w:webHidden/>
          </w:rPr>
          <w:fldChar w:fldCharType="begin"/>
        </w:r>
        <w:r w:rsidR="00117FFA">
          <w:rPr>
            <w:noProof/>
            <w:webHidden/>
          </w:rPr>
          <w:instrText xml:space="preserve"> PAGEREF _Toc107223010 \h </w:instrText>
        </w:r>
        <w:r w:rsidR="00117FFA">
          <w:rPr>
            <w:noProof/>
            <w:webHidden/>
          </w:rPr>
        </w:r>
        <w:r w:rsidR="00117FFA">
          <w:rPr>
            <w:noProof/>
            <w:webHidden/>
          </w:rPr>
          <w:fldChar w:fldCharType="separate"/>
        </w:r>
        <w:r w:rsidR="00117FFA">
          <w:rPr>
            <w:noProof/>
            <w:webHidden/>
          </w:rPr>
          <w:t>7</w:t>
        </w:r>
        <w:r w:rsidR="00117FFA">
          <w:rPr>
            <w:noProof/>
            <w:webHidden/>
          </w:rPr>
          <w:fldChar w:fldCharType="end"/>
        </w:r>
      </w:hyperlink>
    </w:p>
    <w:p w14:paraId="3CBA3E4C" w14:textId="02853AE9"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11" w:history="1">
        <w:r w:rsidR="00117FFA" w:rsidRPr="00E517D8">
          <w:rPr>
            <w:rStyle w:val="Hyperlink"/>
            <w:b/>
            <w:bCs/>
            <w:noProof/>
            <w:lang w:eastAsia="en-AU"/>
          </w:rPr>
          <w:t>3.3.2</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Bioinformatics concerning potential for toxicity</w:t>
        </w:r>
        <w:r w:rsidR="00117FFA">
          <w:rPr>
            <w:noProof/>
            <w:webHidden/>
          </w:rPr>
          <w:tab/>
        </w:r>
        <w:r w:rsidR="00117FFA">
          <w:rPr>
            <w:noProof/>
            <w:webHidden/>
          </w:rPr>
          <w:fldChar w:fldCharType="begin"/>
        </w:r>
        <w:r w:rsidR="00117FFA">
          <w:rPr>
            <w:noProof/>
            <w:webHidden/>
          </w:rPr>
          <w:instrText xml:space="preserve"> PAGEREF _Toc107223011 \h </w:instrText>
        </w:r>
        <w:r w:rsidR="00117FFA">
          <w:rPr>
            <w:noProof/>
            <w:webHidden/>
          </w:rPr>
        </w:r>
        <w:r w:rsidR="00117FFA">
          <w:rPr>
            <w:noProof/>
            <w:webHidden/>
          </w:rPr>
          <w:fldChar w:fldCharType="separate"/>
        </w:r>
        <w:r w:rsidR="00117FFA">
          <w:rPr>
            <w:noProof/>
            <w:webHidden/>
          </w:rPr>
          <w:t>8</w:t>
        </w:r>
        <w:r w:rsidR="00117FFA">
          <w:rPr>
            <w:noProof/>
            <w:webHidden/>
          </w:rPr>
          <w:fldChar w:fldCharType="end"/>
        </w:r>
      </w:hyperlink>
    </w:p>
    <w:p w14:paraId="4FF4B583" w14:textId="49D95859"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12" w:history="1">
        <w:r w:rsidR="00117FFA" w:rsidRPr="00E517D8">
          <w:rPr>
            <w:rStyle w:val="Hyperlink"/>
            <w:b/>
            <w:bCs/>
            <w:noProof/>
            <w:lang w:eastAsia="en-AU"/>
          </w:rPr>
          <w:t>3.3.3</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Toxicity studies</w:t>
        </w:r>
        <w:r w:rsidR="00117FFA">
          <w:rPr>
            <w:noProof/>
            <w:webHidden/>
          </w:rPr>
          <w:tab/>
        </w:r>
        <w:r w:rsidR="00117FFA">
          <w:rPr>
            <w:noProof/>
            <w:webHidden/>
          </w:rPr>
          <w:fldChar w:fldCharType="begin"/>
        </w:r>
        <w:r w:rsidR="00117FFA">
          <w:rPr>
            <w:noProof/>
            <w:webHidden/>
          </w:rPr>
          <w:instrText xml:space="preserve"> PAGEREF _Toc107223012 \h </w:instrText>
        </w:r>
        <w:r w:rsidR="00117FFA">
          <w:rPr>
            <w:noProof/>
            <w:webHidden/>
          </w:rPr>
        </w:r>
        <w:r w:rsidR="00117FFA">
          <w:rPr>
            <w:noProof/>
            <w:webHidden/>
          </w:rPr>
          <w:fldChar w:fldCharType="separate"/>
        </w:r>
        <w:r w:rsidR="00117FFA">
          <w:rPr>
            <w:noProof/>
            <w:webHidden/>
          </w:rPr>
          <w:t>8</w:t>
        </w:r>
        <w:r w:rsidR="00117FFA">
          <w:rPr>
            <w:noProof/>
            <w:webHidden/>
          </w:rPr>
          <w:fldChar w:fldCharType="end"/>
        </w:r>
      </w:hyperlink>
    </w:p>
    <w:p w14:paraId="79E43C80" w14:textId="6FF5AABF"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13" w:history="1">
        <w:r w:rsidR="00117FFA" w:rsidRPr="00E517D8">
          <w:rPr>
            <w:rStyle w:val="Hyperlink"/>
            <w:b/>
            <w:bCs/>
            <w:noProof/>
            <w:lang w:eastAsia="en-AU"/>
          </w:rPr>
          <w:t>3.3.4</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Potential for allergenicity</w:t>
        </w:r>
        <w:r w:rsidR="00117FFA">
          <w:rPr>
            <w:noProof/>
            <w:webHidden/>
          </w:rPr>
          <w:tab/>
        </w:r>
        <w:r w:rsidR="00117FFA">
          <w:rPr>
            <w:noProof/>
            <w:webHidden/>
          </w:rPr>
          <w:fldChar w:fldCharType="begin"/>
        </w:r>
        <w:r w:rsidR="00117FFA">
          <w:rPr>
            <w:noProof/>
            <w:webHidden/>
          </w:rPr>
          <w:instrText xml:space="preserve"> PAGEREF _Toc107223013 \h </w:instrText>
        </w:r>
        <w:r w:rsidR="00117FFA">
          <w:rPr>
            <w:noProof/>
            <w:webHidden/>
          </w:rPr>
        </w:r>
        <w:r w:rsidR="00117FFA">
          <w:rPr>
            <w:noProof/>
            <w:webHidden/>
          </w:rPr>
          <w:fldChar w:fldCharType="separate"/>
        </w:r>
        <w:r w:rsidR="00117FFA">
          <w:rPr>
            <w:noProof/>
            <w:webHidden/>
          </w:rPr>
          <w:t>10</w:t>
        </w:r>
        <w:r w:rsidR="00117FFA">
          <w:rPr>
            <w:noProof/>
            <w:webHidden/>
          </w:rPr>
          <w:fldChar w:fldCharType="end"/>
        </w:r>
      </w:hyperlink>
    </w:p>
    <w:p w14:paraId="43F1F981" w14:textId="48DBA180" w:rsidR="00117FFA" w:rsidRDefault="00067F54">
      <w:pPr>
        <w:pStyle w:val="TOC3"/>
        <w:tabs>
          <w:tab w:val="left" w:pos="1100"/>
          <w:tab w:val="right" w:leader="dot" w:pos="9060"/>
        </w:tabs>
        <w:rPr>
          <w:rFonts w:eastAsiaTheme="minorEastAsia" w:cstheme="minorBidi"/>
          <w:i w:val="0"/>
          <w:iCs w:val="0"/>
          <w:noProof/>
          <w:sz w:val="22"/>
          <w:szCs w:val="22"/>
          <w:lang w:eastAsia="en-GB" w:bidi="ar-SA"/>
        </w:rPr>
      </w:pPr>
      <w:hyperlink w:anchor="_Toc107223014" w:history="1">
        <w:r w:rsidR="00117FFA" w:rsidRPr="00E517D8">
          <w:rPr>
            <w:rStyle w:val="Hyperlink"/>
            <w:b/>
            <w:bCs/>
            <w:noProof/>
            <w:lang w:eastAsia="en-AU"/>
          </w:rPr>
          <w:t>3.3.5</w:t>
        </w:r>
        <w:r w:rsidR="00117FFA">
          <w:rPr>
            <w:rFonts w:eastAsiaTheme="minorEastAsia" w:cstheme="minorBidi"/>
            <w:i w:val="0"/>
            <w:iCs w:val="0"/>
            <w:noProof/>
            <w:sz w:val="22"/>
            <w:szCs w:val="22"/>
            <w:lang w:eastAsia="en-GB" w:bidi="ar-SA"/>
          </w:rPr>
          <w:tab/>
        </w:r>
        <w:r w:rsidR="00117FFA" w:rsidRPr="00E517D8">
          <w:rPr>
            <w:rStyle w:val="Hyperlink"/>
            <w:b/>
            <w:bCs/>
            <w:noProof/>
            <w:lang w:eastAsia="en-AU"/>
          </w:rPr>
          <w:t>Assessments by other regulatory agencies</w:t>
        </w:r>
        <w:r w:rsidR="00117FFA">
          <w:rPr>
            <w:noProof/>
            <w:webHidden/>
          </w:rPr>
          <w:tab/>
        </w:r>
        <w:r w:rsidR="00117FFA">
          <w:rPr>
            <w:noProof/>
            <w:webHidden/>
          </w:rPr>
          <w:fldChar w:fldCharType="begin"/>
        </w:r>
        <w:r w:rsidR="00117FFA">
          <w:rPr>
            <w:noProof/>
            <w:webHidden/>
          </w:rPr>
          <w:instrText xml:space="preserve"> PAGEREF _Toc107223014 \h </w:instrText>
        </w:r>
        <w:r w:rsidR="00117FFA">
          <w:rPr>
            <w:noProof/>
            <w:webHidden/>
          </w:rPr>
        </w:r>
        <w:r w:rsidR="00117FFA">
          <w:rPr>
            <w:noProof/>
            <w:webHidden/>
          </w:rPr>
          <w:fldChar w:fldCharType="separate"/>
        </w:r>
        <w:r w:rsidR="00117FFA">
          <w:rPr>
            <w:noProof/>
            <w:webHidden/>
          </w:rPr>
          <w:t>10</w:t>
        </w:r>
        <w:r w:rsidR="00117FFA">
          <w:rPr>
            <w:noProof/>
            <w:webHidden/>
          </w:rPr>
          <w:fldChar w:fldCharType="end"/>
        </w:r>
      </w:hyperlink>
    </w:p>
    <w:p w14:paraId="34FD9F35" w14:textId="457A44A6" w:rsidR="00117FFA" w:rsidRDefault="00067F54">
      <w:pPr>
        <w:pStyle w:val="TOC2"/>
        <w:tabs>
          <w:tab w:val="left" w:pos="880"/>
          <w:tab w:val="right" w:leader="dot" w:pos="9060"/>
        </w:tabs>
        <w:rPr>
          <w:rFonts w:eastAsiaTheme="minorEastAsia" w:cstheme="minorBidi"/>
          <w:smallCaps w:val="0"/>
          <w:noProof/>
          <w:sz w:val="22"/>
          <w:szCs w:val="22"/>
          <w:lang w:eastAsia="en-GB" w:bidi="ar-SA"/>
        </w:rPr>
      </w:pPr>
      <w:hyperlink w:anchor="_Toc107223015" w:history="1">
        <w:r w:rsidR="00117FFA" w:rsidRPr="00E517D8">
          <w:rPr>
            <w:rStyle w:val="Hyperlink"/>
            <w:rFonts w:cs="Arial"/>
            <w:b/>
            <w:bCs/>
            <w:noProof/>
          </w:rPr>
          <w:t>3.4</w:t>
        </w:r>
        <w:r w:rsidR="00117FFA">
          <w:rPr>
            <w:rFonts w:eastAsiaTheme="minorEastAsia" w:cstheme="minorBidi"/>
            <w:smallCaps w:val="0"/>
            <w:noProof/>
            <w:sz w:val="22"/>
            <w:szCs w:val="22"/>
            <w:lang w:eastAsia="en-GB" w:bidi="ar-SA"/>
          </w:rPr>
          <w:tab/>
        </w:r>
        <w:r w:rsidR="00117FFA" w:rsidRPr="00E517D8">
          <w:rPr>
            <w:rStyle w:val="Hyperlink"/>
            <w:rFonts w:cs="Arial"/>
            <w:b/>
            <w:bCs/>
            <w:noProof/>
          </w:rPr>
          <w:t>Dietary exposure assessment</w:t>
        </w:r>
        <w:r w:rsidR="00117FFA">
          <w:rPr>
            <w:noProof/>
            <w:webHidden/>
          </w:rPr>
          <w:tab/>
        </w:r>
        <w:r w:rsidR="00117FFA">
          <w:rPr>
            <w:noProof/>
            <w:webHidden/>
          </w:rPr>
          <w:fldChar w:fldCharType="begin"/>
        </w:r>
        <w:r w:rsidR="00117FFA">
          <w:rPr>
            <w:noProof/>
            <w:webHidden/>
          </w:rPr>
          <w:instrText xml:space="preserve"> PAGEREF _Toc107223015 \h </w:instrText>
        </w:r>
        <w:r w:rsidR="00117FFA">
          <w:rPr>
            <w:noProof/>
            <w:webHidden/>
          </w:rPr>
        </w:r>
        <w:r w:rsidR="00117FFA">
          <w:rPr>
            <w:noProof/>
            <w:webHidden/>
          </w:rPr>
          <w:fldChar w:fldCharType="separate"/>
        </w:r>
        <w:r w:rsidR="00117FFA">
          <w:rPr>
            <w:noProof/>
            <w:webHidden/>
          </w:rPr>
          <w:t>10</w:t>
        </w:r>
        <w:r w:rsidR="00117FFA">
          <w:rPr>
            <w:noProof/>
            <w:webHidden/>
          </w:rPr>
          <w:fldChar w:fldCharType="end"/>
        </w:r>
      </w:hyperlink>
    </w:p>
    <w:p w14:paraId="00D189D4" w14:textId="245DBBA8" w:rsidR="00117FFA" w:rsidRDefault="00067F54">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7223016" w:history="1">
        <w:r w:rsidR="00117FFA" w:rsidRPr="00E517D8">
          <w:rPr>
            <w:rStyle w:val="Hyperlink"/>
            <w:noProof/>
          </w:rPr>
          <w:t>4</w:t>
        </w:r>
        <w:r w:rsidR="00117FFA">
          <w:rPr>
            <w:rFonts w:eastAsiaTheme="minorEastAsia" w:cstheme="minorBidi"/>
            <w:b w:val="0"/>
            <w:bCs w:val="0"/>
            <w:caps w:val="0"/>
            <w:noProof/>
            <w:sz w:val="22"/>
            <w:szCs w:val="22"/>
            <w:lang w:eastAsia="en-GB" w:bidi="ar-SA"/>
          </w:rPr>
          <w:tab/>
        </w:r>
        <w:r w:rsidR="00117FFA" w:rsidRPr="00E517D8">
          <w:rPr>
            <w:rStyle w:val="Hyperlink"/>
            <w:noProof/>
          </w:rPr>
          <w:t>Discussion</w:t>
        </w:r>
        <w:r w:rsidR="00117FFA">
          <w:rPr>
            <w:noProof/>
            <w:webHidden/>
          </w:rPr>
          <w:tab/>
        </w:r>
        <w:r w:rsidR="00117FFA">
          <w:rPr>
            <w:noProof/>
            <w:webHidden/>
          </w:rPr>
          <w:fldChar w:fldCharType="begin"/>
        </w:r>
        <w:r w:rsidR="00117FFA">
          <w:rPr>
            <w:noProof/>
            <w:webHidden/>
          </w:rPr>
          <w:instrText xml:space="preserve"> PAGEREF _Toc107223016 \h </w:instrText>
        </w:r>
        <w:r w:rsidR="00117FFA">
          <w:rPr>
            <w:noProof/>
            <w:webHidden/>
          </w:rPr>
        </w:r>
        <w:r w:rsidR="00117FFA">
          <w:rPr>
            <w:noProof/>
            <w:webHidden/>
          </w:rPr>
          <w:fldChar w:fldCharType="separate"/>
        </w:r>
        <w:r w:rsidR="00117FFA">
          <w:rPr>
            <w:noProof/>
            <w:webHidden/>
          </w:rPr>
          <w:t>11</w:t>
        </w:r>
        <w:r w:rsidR="00117FFA">
          <w:rPr>
            <w:noProof/>
            <w:webHidden/>
          </w:rPr>
          <w:fldChar w:fldCharType="end"/>
        </w:r>
      </w:hyperlink>
    </w:p>
    <w:p w14:paraId="01A127C4" w14:textId="4E16783D" w:rsidR="00117FFA" w:rsidRDefault="00067F54">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7223017" w:history="1">
        <w:r w:rsidR="00117FFA" w:rsidRPr="00E517D8">
          <w:rPr>
            <w:rStyle w:val="Hyperlink"/>
            <w:noProof/>
          </w:rPr>
          <w:t>5</w:t>
        </w:r>
        <w:r w:rsidR="00117FFA">
          <w:rPr>
            <w:rFonts w:eastAsiaTheme="minorEastAsia" w:cstheme="minorBidi"/>
            <w:b w:val="0"/>
            <w:bCs w:val="0"/>
            <w:caps w:val="0"/>
            <w:noProof/>
            <w:sz w:val="22"/>
            <w:szCs w:val="22"/>
            <w:lang w:eastAsia="en-GB" w:bidi="ar-SA"/>
          </w:rPr>
          <w:tab/>
        </w:r>
        <w:r w:rsidR="00117FFA" w:rsidRPr="00E517D8">
          <w:rPr>
            <w:rStyle w:val="Hyperlink"/>
            <w:noProof/>
          </w:rPr>
          <w:t>Conclusion</w:t>
        </w:r>
        <w:r w:rsidR="00117FFA">
          <w:rPr>
            <w:noProof/>
            <w:webHidden/>
          </w:rPr>
          <w:tab/>
        </w:r>
        <w:r w:rsidR="00117FFA">
          <w:rPr>
            <w:noProof/>
            <w:webHidden/>
          </w:rPr>
          <w:fldChar w:fldCharType="begin"/>
        </w:r>
        <w:r w:rsidR="00117FFA">
          <w:rPr>
            <w:noProof/>
            <w:webHidden/>
          </w:rPr>
          <w:instrText xml:space="preserve"> PAGEREF _Toc107223017 \h </w:instrText>
        </w:r>
        <w:r w:rsidR="00117FFA">
          <w:rPr>
            <w:noProof/>
            <w:webHidden/>
          </w:rPr>
        </w:r>
        <w:r w:rsidR="00117FFA">
          <w:rPr>
            <w:noProof/>
            <w:webHidden/>
          </w:rPr>
          <w:fldChar w:fldCharType="separate"/>
        </w:r>
        <w:r w:rsidR="00117FFA">
          <w:rPr>
            <w:noProof/>
            <w:webHidden/>
          </w:rPr>
          <w:t>12</w:t>
        </w:r>
        <w:r w:rsidR="00117FFA">
          <w:rPr>
            <w:noProof/>
            <w:webHidden/>
          </w:rPr>
          <w:fldChar w:fldCharType="end"/>
        </w:r>
      </w:hyperlink>
    </w:p>
    <w:p w14:paraId="1E7F41F4" w14:textId="5E2E6FB1" w:rsidR="00117FFA" w:rsidRDefault="00067F54">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7223018" w:history="1">
        <w:r w:rsidR="00117FFA" w:rsidRPr="00E517D8">
          <w:rPr>
            <w:rStyle w:val="Hyperlink"/>
            <w:noProof/>
          </w:rPr>
          <w:t>6</w:t>
        </w:r>
        <w:r w:rsidR="00117FFA">
          <w:rPr>
            <w:rFonts w:eastAsiaTheme="minorEastAsia" w:cstheme="minorBidi"/>
            <w:b w:val="0"/>
            <w:bCs w:val="0"/>
            <w:caps w:val="0"/>
            <w:noProof/>
            <w:sz w:val="22"/>
            <w:szCs w:val="22"/>
            <w:lang w:eastAsia="en-GB" w:bidi="ar-SA"/>
          </w:rPr>
          <w:tab/>
        </w:r>
        <w:r w:rsidR="00117FFA" w:rsidRPr="00E517D8">
          <w:rPr>
            <w:rStyle w:val="Hyperlink"/>
            <w:noProof/>
          </w:rPr>
          <w:t>References</w:t>
        </w:r>
        <w:r w:rsidR="00117FFA">
          <w:rPr>
            <w:noProof/>
            <w:webHidden/>
          </w:rPr>
          <w:tab/>
        </w:r>
        <w:r w:rsidR="00117FFA">
          <w:rPr>
            <w:noProof/>
            <w:webHidden/>
          </w:rPr>
          <w:fldChar w:fldCharType="begin"/>
        </w:r>
        <w:r w:rsidR="00117FFA">
          <w:rPr>
            <w:noProof/>
            <w:webHidden/>
          </w:rPr>
          <w:instrText xml:space="preserve"> PAGEREF _Toc107223018 \h </w:instrText>
        </w:r>
        <w:r w:rsidR="00117FFA">
          <w:rPr>
            <w:noProof/>
            <w:webHidden/>
          </w:rPr>
        </w:r>
        <w:r w:rsidR="00117FFA">
          <w:rPr>
            <w:noProof/>
            <w:webHidden/>
          </w:rPr>
          <w:fldChar w:fldCharType="separate"/>
        </w:r>
        <w:r w:rsidR="00117FFA">
          <w:rPr>
            <w:noProof/>
            <w:webHidden/>
          </w:rPr>
          <w:t>12</w:t>
        </w:r>
        <w:r w:rsidR="00117FFA">
          <w:rPr>
            <w:noProof/>
            <w:webHidden/>
          </w:rPr>
          <w:fldChar w:fldCharType="end"/>
        </w:r>
      </w:hyperlink>
    </w:p>
    <w:p w14:paraId="26B82DC2" w14:textId="1624004F" w:rsidR="00562917" w:rsidRDefault="00326D85" w:rsidP="00051ED9">
      <w:r>
        <w:fldChar w:fldCharType="end"/>
      </w:r>
    </w:p>
    <w:p w14:paraId="1FA405FD" w14:textId="77777777" w:rsidR="00051ED9" w:rsidRDefault="00562917" w:rsidP="00772BDC">
      <w:r w:rsidRPr="00E203C2">
        <w:br w:type="page"/>
      </w:r>
    </w:p>
    <w:p w14:paraId="296D347B" w14:textId="6129B589" w:rsidR="008472C0" w:rsidRPr="003E7C13" w:rsidRDefault="008472C0" w:rsidP="003E7C13">
      <w:pPr>
        <w:pStyle w:val="ListParagraph"/>
        <w:keepNext/>
        <w:numPr>
          <w:ilvl w:val="0"/>
          <w:numId w:val="4"/>
        </w:numPr>
        <w:spacing w:before="240" w:after="240"/>
        <w:outlineLvl w:val="0"/>
        <w:rPr>
          <w:b/>
          <w:bCs/>
          <w:sz w:val="36"/>
          <w:szCs w:val="28"/>
          <w:lang w:bidi="ar-SA"/>
        </w:rPr>
      </w:pPr>
      <w:bookmarkStart w:id="4" w:name="_Toc501699816"/>
      <w:bookmarkStart w:id="5" w:name="_Toc536543984"/>
      <w:bookmarkStart w:id="6" w:name="_Toc536607119"/>
      <w:bookmarkStart w:id="7" w:name="_Toc30154591"/>
      <w:bookmarkStart w:id="8" w:name="_Toc85204754"/>
      <w:bookmarkStart w:id="9" w:name="_Toc85211316"/>
      <w:bookmarkStart w:id="10" w:name="_Toc87259291"/>
      <w:bookmarkStart w:id="11" w:name="_Toc107222991"/>
      <w:r w:rsidRPr="003E7C13">
        <w:rPr>
          <w:b/>
          <w:bCs/>
          <w:sz w:val="36"/>
          <w:szCs w:val="28"/>
          <w:lang w:bidi="ar-SA"/>
        </w:rPr>
        <w:lastRenderedPageBreak/>
        <w:t>Introduction</w:t>
      </w:r>
      <w:bookmarkEnd w:id="4"/>
      <w:bookmarkEnd w:id="5"/>
      <w:bookmarkEnd w:id="6"/>
      <w:bookmarkEnd w:id="7"/>
      <w:bookmarkEnd w:id="8"/>
      <w:bookmarkEnd w:id="9"/>
      <w:bookmarkEnd w:id="10"/>
      <w:bookmarkEnd w:id="11"/>
    </w:p>
    <w:p w14:paraId="299F4DE4" w14:textId="697684BA" w:rsidR="00D96C4F" w:rsidRDefault="00185ED4" w:rsidP="003E7C13">
      <w:pPr>
        <w:widowControl w:val="0"/>
      </w:pPr>
      <w:r w:rsidRPr="00185ED4">
        <w:t xml:space="preserve">Novozymes Australia Pty Limited </w:t>
      </w:r>
      <w:r w:rsidR="003E7C13" w:rsidRPr="00527245">
        <w:t>applied to Food Standards Australia New Zealand (FSANZ) to permit the use of the enzyme</w:t>
      </w:r>
      <w:r w:rsidR="003E7C13" w:rsidRPr="002F54DC">
        <w:t xml:space="preserve"> phospholipase A1</w:t>
      </w:r>
      <w:r w:rsidR="003E7C13" w:rsidRPr="00527245">
        <w:t xml:space="preserve"> (EC </w:t>
      </w:r>
      <w:r w:rsidR="003E7C13" w:rsidRPr="003E7C13">
        <w:rPr>
          <w:bCs/>
        </w:rPr>
        <w:t>3.1.1.32</w:t>
      </w:r>
      <w:r w:rsidR="003E7C13" w:rsidRPr="00527245">
        <w:t xml:space="preserve">) as a processing aid </w:t>
      </w:r>
      <w:r w:rsidR="003E7C13" w:rsidRPr="002F54DC">
        <w:t xml:space="preserve">in the manufacture of edible vegetable oils and fats products. </w:t>
      </w:r>
      <w:r w:rsidR="00AF377F" w:rsidRPr="00AF377F">
        <w:t xml:space="preserve">Following subsequent consultation with Food Standards Australia New Zealand (FSANZ) however, the applicant has clarified that the technological purpose of this enzyme is as a processing aid in the processing of vegetable oils, specifically the degumming (removal of phosphatides) of those oils, </w:t>
      </w:r>
      <w:r w:rsidR="00D96C4F">
        <w:t xml:space="preserve">which can then be used in the manufacture of fat-based products. The focus of FSANZ’s assessment was therefore on the use of the enzyme in the processing of vegetable oils. </w:t>
      </w:r>
    </w:p>
    <w:p w14:paraId="0A1CCB19" w14:textId="297B70FD" w:rsidR="005B7EA7" w:rsidRDefault="00185ED4" w:rsidP="003E7C13">
      <w:pPr>
        <w:widowControl w:val="0"/>
      </w:pPr>
      <w:r>
        <w:t>T</w:t>
      </w:r>
      <w:r w:rsidR="003E7C13" w:rsidRPr="00527245">
        <w:t xml:space="preserve">his enzyme is sourced from a genetically modified (GM) </w:t>
      </w:r>
      <w:r w:rsidR="003E7C13" w:rsidRPr="00606258">
        <w:t xml:space="preserve">strain of </w:t>
      </w:r>
      <w:r w:rsidR="003E7C13" w:rsidRPr="00606258">
        <w:rPr>
          <w:i/>
        </w:rPr>
        <w:t xml:space="preserve">Aspergillus niger, </w:t>
      </w:r>
      <w:r w:rsidR="003E7C13" w:rsidRPr="00606258">
        <w:t xml:space="preserve">containing the phospholipase A1 gene from </w:t>
      </w:r>
      <w:r w:rsidR="00C468F9" w:rsidRPr="00185ED4">
        <w:rPr>
          <w:i/>
        </w:rPr>
        <w:t>Evansstolkia</w:t>
      </w:r>
      <w:r w:rsidR="00C468F9" w:rsidRPr="00185ED4">
        <w:t xml:space="preserve"> </w:t>
      </w:r>
      <w:r w:rsidR="00C468F9" w:rsidRPr="00185ED4">
        <w:rPr>
          <w:i/>
        </w:rPr>
        <w:t>leycettana</w:t>
      </w:r>
      <w:r w:rsidR="00C468F9" w:rsidRPr="00185ED4">
        <w:t xml:space="preserve"> (basionym </w:t>
      </w:r>
      <w:r w:rsidR="00C468F9" w:rsidRPr="00185ED4">
        <w:rPr>
          <w:i/>
        </w:rPr>
        <w:t>Talaromyces leycettanus</w:t>
      </w:r>
      <w:r w:rsidR="00C468F9">
        <w:t>)</w:t>
      </w:r>
      <w:r w:rsidR="003E7C13" w:rsidRPr="00606258">
        <w:t>.</w:t>
      </w:r>
      <w:r>
        <w:t xml:space="preserve"> </w:t>
      </w:r>
      <w:r w:rsidR="00D96C4F" w:rsidRPr="00D96C4F">
        <w:t xml:space="preserve">The gene donor host named in the application is </w:t>
      </w:r>
      <w:r w:rsidR="00D96C4F" w:rsidRPr="00D96C4F">
        <w:rPr>
          <w:i/>
        </w:rPr>
        <w:t>Talaromyces leycettanus.</w:t>
      </w:r>
      <w:r w:rsidR="00D96C4F" w:rsidRPr="00D96C4F">
        <w:t xml:space="preserve"> </w:t>
      </w:r>
      <w:r w:rsidR="00D96C4F" w:rsidRPr="00D96C4F">
        <w:rPr>
          <w:i/>
        </w:rPr>
        <w:t>Talaromyces leycettanus</w:t>
      </w:r>
      <w:r w:rsidR="00D96C4F" w:rsidRPr="00D96C4F">
        <w:t xml:space="preserve"> is now </w:t>
      </w:r>
      <w:r w:rsidR="00AF377F">
        <w:t xml:space="preserve">however, </w:t>
      </w:r>
      <w:r w:rsidR="00D96C4F" w:rsidRPr="00D96C4F">
        <w:t xml:space="preserve">named as </w:t>
      </w:r>
      <w:r w:rsidR="00D96C4F" w:rsidRPr="00D96C4F">
        <w:rPr>
          <w:i/>
        </w:rPr>
        <w:t>Evansstolkia leycettana</w:t>
      </w:r>
      <w:r w:rsidR="00AF377F">
        <w:rPr>
          <w:i/>
        </w:rPr>
        <w:t xml:space="preserve"> </w:t>
      </w:r>
      <w:r w:rsidR="00AF377F">
        <w:t>(see Section 3.1.2)</w:t>
      </w:r>
      <w:r w:rsidR="00D96C4F" w:rsidRPr="00D96C4F">
        <w:t xml:space="preserve">. </w:t>
      </w:r>
    </w:p>
    <w:p w14:paraId="5D8311FF" w14:textId="0A6779AF" w:rsidR="008472C0" w:rsidRPr="003E7C13" w:rsidRDefault="008472C0" w:rsidP="003E7C13">
      <w:pPr>
        <w:pStyle w:val="ListParagraph"/>
        <w:keepNext/>
        <w:numPr>
          <w:ilvl w:val="1"/>
          <w:numId w:val="4"/>
        </w:numPr>
        <w:spacing w:before="240" w:after="240"/>
        <w:outlineLvl w:val="1"/>
        <w:rPr>
          <w:rFonts w:cs="Arial"/>
          <w:b/>
          <w:bCs/>
          <w:sz w:val="28"/>
          <w:szCs w:val="22"/>
          <w:lang w:bidi="ar-SA"/>
        </w:rPr>
      </w:pPr>
      <w:bookmarkStart w:id="12" w:name="_Toc536543985"/>
      <w:bookmarkStart w:id="13" w:name="_Toc536607120"/>
      <w:bookmarkStart w:id="14" w:name="_Toc30154592"/>
      <w:bookmarkStart w:id="15" w:name="_Toc85204755"/>
      <w:bookmarkStart w:id="16" w:name="_Toc85211317"/>
      <w:bookmarkStart w:id="17" w:name="_Toc87259292"/>
      <w:bookmarkStart w:id="18" w:name="_Toc107222992"/>
      <w:r w:rsidRPr="003E7C13">
        <w:rPr>
          <w:rFonts w:cs="Arial"/>
          <w:b/>
          <w:bCs/>
          <w:sz w:val="28"/>
          <w:szCs w:val="22"/>
          <w:lang w:bidi="ar-SA"/>
        </w:rPr>
        <w:t>Objectives of the assessment</w:t>
      </w:r>
      <w:bookmarkEnd w:id="12"/>
      <w:bookmarkEnd w:id="13"/>
      <w:bookmarkEnd w:id="14"/>
      <w:bookmarkEnd w:id="15"/>
      <w:bookmarkEnd w:id="16"/>
      <w:bookmarkEnd w:id="17"/>
      <w:bookmarkEnd w:id="18"/>
    </w:p>
    <w:p w14:paraId="41B2171F" w14:textId="42F765D6" w:rsidR="00C11522" w:rsidRPr="00C11522" w:rsidRDefault="00C11522" w:rsidP="00C11522">
      <w:pPr>
        <w:widowControl w:val="0"/>
        <w:rPr>
          <w:i/>
          <w:iCs/>
        </w:rPr>
      </w:pPr>
      <w:r>
        <w:t xml:space="preserve">Currently, Schedule 18 of the </w:t>
      </w:r>
      <w:r w:rsidR="008F6523">
        <w:t xml:space="preserve">Australia New Zealand Food Standards Code (the </w:t>
      </w:r>
      <w:r>
        <w:t>Code</w:t>
      </w:r>
      <w:r w:rsidR="008F6523">
        <w:t>)</w:t>
      </w:r>
      <w:r>
        <w:t xml:space="preserve"> includes permission for phospholipase A1 from GM </w:t>
      </w:r>
      <w:r w:rsidRPr="00C11522">
        <w:rPr>
          <w:i/>
          <w:iCs/>
        </w:rPr>
        <w:t>Aspergillus oryzae</w:t>
      </w:r>
      <w:r>
        <w:t xml:space="preserve">. This phospholipase A1 produced by GM </w:t>
      </w:r>
      <w:r w:rsidRPr="00C11522">
        <w:rPr>
          <w:i/>
          <w:iCs/>
        </w:rPr>
        <w:t xml:space="preserve">A. niger </w:t>
      </w:r>
      <w:r>
        <w:t>requires a pre-market assessment before permission can be given for its use as a processing aid.</w:t>
      </w:r>
      <w:r w:rsidRPr="00C11522">
        <w:rPr>
          <w:color w:val="FFC000"/>
        </w:rPr>
        <w:t xml:space="preserve"> </w:t>
      </w:r>
    </w:p>
    <w:p w14:paraId="6DE14D72" w14:textId="77777777" w:rsidR="003E7C13" w:rsidRPr="003E7C13" w:rsidRDefault="003E7C13" w:rsidP="003E7C13">
      <w:pPr>
        <w:widowControl w:val="0"/>
        <w:spacing w:before="0" w:after="0"/>
        <w:rPr>
          <w:lang w:bidi="ar-SA"/>
        </w:rPr>
      </w:pPr>
      <w:r w:rsidRPr="003E7C13">
        <w:rPr>
          <w:lang w:bidi="ar-SA"/>
        </w:rPr>
        <w:t>The objectives of this risk and technical assessment were to:</w:t>
      </w:r>
    </w:p>
    <w:p w14:paraId="77650AB8" w14:textId="77777777" w:rsidR="003E7C13" w:rsidRPr="003E7C13" w:rsidRDefault="003E7C13" w:rsidP="003E7C13">
      <w:pPr>
        <w:widowControl w:val="0"/>
        <w:spacing w:before="0" w:after="0"/>
        <w:rPr>
          <w:lang w:bidi="ar-SA"/>
        </w:rPr>
      </w:pPr>
    </w:p>
    <w:p w14:paraId="5A98087B" w14:textId="77777777" w:rsidR="004768DD" w:rsidRPr="004768DD" w:rsidRDefault="004768DD" w:rsidP="004768DD">
      <w:pPr>
        <w:pStyle w:val="FSBullet1"/>
        <w:spacing w:before="0" w:after="0"/>
      </w:pPr>
      <w:r w:rsidRPr="004768DD">
        <w:t>determine whether the proposed purpose is a solely technological purpose (function) and that the enzyme achieves its technological purpose as a processing aid in the quantity and form proposed to be used</w:t>
      </w:r>
    </w:p>
    <w:p w14:paraId="478F0A8F" w14:textId="234FC469" w:rsidR="003E7C13" w:rsidRPr="003E7C13" w:rsidRDefault="003E7C13" w:rsidP="004768DD">
      <w:pPr>
        <w:pStyle w:val="FSBullet1"/>
        <w:spacing w:before="0" w:after="0"/>
      </w:pPr>
      <w:r w:rsidRPr="003E7C13">
        <w:t>evaluate potential public health and safety concerns that may arise from the use of this enzyme as a processing aid, specifically by considering the</w:t>
      </w:r>
      <w:r w:rsidR="008F6523">
        <w:t>:</w:t>
      </w:r>
    </w:p>
    <w:p w14:paraId="5594F3FA" w14:textId="77777777" w:rsidR="003E7C13" w:rsidRPr="003E7C13" w:rsidRDefault="003E7C13" w:rsidP="00F20B06">
      <w:pPr>
        <w:pStyle w:val="FSBullet2"/>
        <w:spacing w:before="0" w:after="0"/>
      </w:pPr>
      <w:r w:rsidRPr="003E7C13">
        <w:t>history of use of the gene donor and production microorganisms</w:t>
      </w:r>
    </w:p>
    <w:p w14:paraId="4E60AA77" w14:textId="77777777" w:rsidR="003E7C13" w:rsidRPr="003E7C13" w:rsidRDefault="003E7C13" w:rsidP="00F20B06">
      <w:pPr>
        <w:pStyle w:val="FSBullet2"/>
        <w:spacing w:before="0" w:after="0"/>
      </w:pPr>
      <w:r w:rsidRPr="003E7C13">
        <w:t>characterisation of the genetic modification(s), and</w:t>
      </w:r>
    </w:p>
    <w:p w14:paraId="6D787F9A" w14:textId="77777777" w:rsidR="003E7C13" w:rsidRPr="003E7C13" w:rsidRDefault="003E7C13" w:rsidP="00F20B06">
      <w:pPr>
        <w:pStyle w:val="FSBullet2"/>
        <w:spacing w:before="0" w:after="0"/>
      </w:pPr>
      <w:r w:rsidRPr="003E7C13">
        <w:t>safety of the enzyme.</w:t>
      </w:r>
    </w:p>
    <w:p w14:paraId="08565023" w14:textId="73829CCD" w:rsidR="008472C0" w:rsidRPr="008472C0" w:rsidRDefault="008472C0" w:rsidP="008472C0">
      <w:pPr>
        <w:keepNext/>
        <w:spacing w:before="240" w:after="240"/>
        <w:ind w:left="851" w:hanging="851"/>
        <w:outlineLvl w:val="0"/>
        <w:rPr>
          <w:b/>
          <w:bCs/>
          <w:sz w:val="36"/>
          <w:szCs w:val="28"/>
          <w:lang w:bidi="ar-SA"/>
        </w:rPr>
      </w:pPr>
      <w:bookmarkStart w:id="19" w:name="_Toc536543986"/>
      <w:bookmarkStart w:id="20" w:name="_Toc536607121"/>
      <w:bookmarkStart w:id="21" w:name="_Toc30154593"/>
      <w:bookmarkStart w:id="22" w:name="_Toc85204756"/>
      <w:bookmarkStart w:id="23" w:name="_Toc85211318"/>
      <w:bookmarkStart w:id="24" w:name="_Toc87259293"/>
      <w:bookmarkStart w:id="25" w:name="_Toc107222993"/>
      <w:r w:rsidRPr="008472C0">
        <w:rPr>
          <w:b/>
          <w:bCs/>
          <w:sz w:val="36"/>
          <w:szCs w:val="28"/>
          <w:lang w:bidi="ar-SA"/>
        </w:rPr>
        <w:t>2</w:t>
      </w:r>
      <w:r w:rsidRPr="008472C0">
        <w:rPr>
          <w:b/>
          <w:bCs/>
          <w:sz w:val="36"/>
          <w:szCs w:val="28"/>
          <w:lang w:bidi="ar-SA"/>
        </w:rPr>
        <w:tab/>
        <w:t>Food technology assessment</w:t>
      </w:r>
      <w:bookmarkEnd w:id="19"/>
      <w:bookmarkEnd w:id="20"/>
      <w:bookmarkEnd w:id="21"/>
      <w:bookmarkEnd w:id="22"/>
      <w:bookmarkEnd w:id="23"/>
      <w:bookmarkEnd w:id="24"/>
      <w:bookmarkEnd w:id="25"/>
    </w:p>
    <w:p w14:paraId="724D02CA" w14:textId="77777777" w:rsidR="008472C0" w:rsidRPr="008472C0" w:rsidRDefault="008472C0" w:rsidP="008472C0">
      <w:pPr>
        <w:keepNext/>
        <w:spacing w:before="240" w:after="240"/>
        <w:outlineLvl w:val="1"/>
        <w:rPr>
          <w:rFonts w:cs="Arial"/>
          <w:b/>
          <w:bCs/>
          <w:sz w:val="28"/>
          <w:szCs w:val="22"/>
          <w:lang w:bidi="ar-SA"/>
        </w:rPr>
      </w:pPr>
      <w:bookmarkStart w:id="26" w:name="_Toc472327044"/>
      <w:bookmarkStart w:id="27" w:name="_Toc501699819"/>
      <w:bookmarkStart w:id="28" w:name="_Toc536543987"/>
      <w:bookmarkStart w:id="29" w:name="_Toc536607122"/>
      <w:bookmarkStart w:id="30" w:name="_Toc30154594"/>
      <w:bookmarkStart w:id="31" w:name="_Toc85204757"/>
      <w:bookmarkStart w:id="32" w:name="_Toc85211319"/>
      <w:bookmarkStart w:id="33" w:name="_Toc87259294"/>
      <w:bookmarkStart w:id="34" w:name="_Toc107222994"/>
      <w:r w:rsidRPr="008472C0">
        <w:rPr>
          <w:rFonts w:cs="Arial"/>
          <w:b/>
          <w:bCs/>
          <w:sz w:val="28"/>
          <w:szCs w:val="22"/>
          <w:lang w:bidi="ar-SA"/>
        </w:rPr>
        <w:t>2.1</w:t>
      </w:r>
      <w:r w:rsidRPr="008472C0">
        <w:rPr>
          <w:rFonts w:cs="Arial"/>
          <w:b/>
          <w:bCs/>
          <w:sz w:val="28"/>
          <w:szCs w:val="22"/>
          <w:lang w:bidi="ar-SA"/>
        </w:rPr>
        <w:tab/>
        <w:t>Characterisation of the enzyme</w:t>
      </w:r>
      <w:bookmarkEnd w:id="26"/>
      <w:bookmarkEnd w:id="27"/>
      <w:bookmarkEnd w:id="28"/>
      <w:bookmarkEnd w:id="29"/>
      <w:bookmarkEnd w:id="30"/>
      <w:bookmarkEnd w:id="31"/>
      <w:bookmarkEnd w:id="32"/>
      <w:bookmarkEnd w:id="33"/>
      <w:bookmarkEnd w:id="34"/>
    </w:p>
    <w:p w14:paraId="65421D37" w14:textId="46B044C2" w:rsidR="008441E8" w:rsidRDefault="008441E8" w:rsidP="008441E8">
      <w:pPr>
        <w:rPr>
          <w:rFonts w:eastAsia="Calibri" w:cs="Arial"/>
          <w:b/>
          <w:i/>
          <w:lang w:bidi="ar-SA"/>
        </w:rPr>
      </w:pPr>
      <w:bookmarkStart w:id="35" w:name="_Toc472327053"/>
      <w:bookmarkStart w:id="36" w:name="_Toc501699827"/>
      <w:bookmarkStart w:id="37" w:name="_Toc536543994"/>
      <w:bookmarkStart w:id="38" w:name="_Toc536607129"/>
      <w:r w:rsidRPr="007040E3">
        <w:rPr>
          <w:rFonts w:eastAsia="Calibri" w:cs="Arial"/>
          <w:szCs w:val="22"/>
          <w:lang w:bidi="ar-SA"/>
        </w:rPr>
        <w:t xml:space="preserve">The production microorganism of the enzyme is a GM strain of </w:t>
      </w:r>
      <w:r w:rsidRPr="007040E3">
        <w:rPr>
          <w:rFonts w:eastAsia="Calibri" w:cs="Arial"/>
          <w:i/>
          <w:szCs w:val="22"/>
          <w:lang w:bidi="ar-SA"/>
        </w:rPr>
        <w:t>A. niger</w:t>
      </w:r>
      <w:r w:rsidRPr="007040E3">
        <w:rPr>
          <w:rFonts w:eastAsia="Calibri" w:cs="Arial"/>
          <w:szCs w:val="22"/>
          <w:lang w:bidi="ar-SA"/>
        </w:rPr>
        <w:t xml:space="preserve">. </w:t>
      </w:r>
      <w:r w:rsidRPr="007040E3">
        <w:rPr>
          <w:rFonts w:cs="Arial"/>
        </w:rPr>
        <w:t>The</w:t>
      </w:r>
      <w:r w:rsidRPr="00B07A52">
        <w:t xml:space="preserve"> applicant provided relevant information regarding the identity of the </w:t>
      </w:r>
      <w:r>
        <w:rPr>
          <w:sz w:val="23"/>
          <w:szCs w:val="23"/>
        </w:rPr>
        <w:t>phospholipase A</w:t>
      </w:r>
      <w:r w:rsidRPr="00DE54B3">
        <w:rPr>
          <w:sz w:val="23"/>
          <w:szCs w:val="23"/>
        </w:rPr>
        <w:t>1</w:t>
      </w:r>
      <w:r w:rsidRPr="00B07A52">
        <w:rPr>
          <w:sz w:val="23"/>
          <w:szCs w:val="23"/>
        </w:rPr>
        <w:t xml:space="preserve"> </w:t>
      </w:r>
      <w:r w:rsidRPr="00B07A52">
        <w:t xml:space="preserve">enzyme. FSANZ verified this using </w:t>
      </w:r>
      <w:r>
        <w:t xml:space="preserve">the </w:t>
      </w:r>
      <w:r w:rsidR="00AB7A76" w:rsidRPr="00AB7A76">
        <w:t xml:space="preserve">International Union of Biochemistry and Molecular Biology </w:t>
      </w:r>
      <w:r w:rsidR="00AB7A76">
        <w:t>(</w:t>
      </w:r>
      <w:r>
        <w:t>IUBMB</w:t>
      </w:r>
      <w:r w:rsidR="00AB7A76">
        <w:t>)</w:t>
      </w:r>
      <w:r w:rsidRPr="00B07A52">
        <w:t xml:space="preserve"> enzyme nomenclature </w:t>
      </w:r>
      <w:r>
        <w:t xml:space="preserve">database </w:t>
      </w:r>
      <w:r w:rsidRPr="00B07A52">
        <w:t>(</w:t>
      </w:r>
      <w:r>
        <w:t xml:space="preserve">McDonald et al 2009). </w:t>
      </w:r>
      <w:r w:rsidRPr="00A52764">
        <w:rPr>
          <w:rFonts w:eastAsia="Calibri"/>
          <w:lang w:bidi="ar-SA"/>
        </w:rPr>
        <w:t>Details of the identity of the e</w:t>
      </w:r>
      <w:r>
        <w:rPr>
          <w:rFonts w:eastAsia="Calibri"/>
          <w:lang w:bidi="ar-SA"/>
        </w:rPr>
        <w:t>nzyme are provided in Table </w:t>
      </w:r>
      <w:r w:rsidRPr="00A52764">
        <w:rPr>
          <w:rFonts w:eastAsia="Calibri"/>
          <w:lang w:bidi="ar-SA"/>
        </w:rPr>
        <w:t>1.</w:t>
      </w:r>
    </w:p>
    <w:p w14:paraId="3467B055" w14:textId="77777777" w:rsidR="008441E8" w:rsidRDefault="008441E8" w:rsidP="00553308">
      <w:pPr>
        <w:keepNext/>
        <w:rPr>
          <w:rFonts w:eastAsia="Calibri" w:cs="Arial"/>
          <w:lang w:bidi="ar-SA"/>
        </w:rPr>
      </w:pPr>
      <w:r w:rsidRPr="633F84AC">
        <w:rPr>
          <w:rFonts w:eastAsia="Calibri" w:cs="Arial"/>
          <w:b/>
          <w:bCs/>
          <w:i/>
          <w:iCs/>
          <w:lang w:bidi="ar-SA"/>
        </w:rPr>
        <w:t>Table 1</w:t>
      </w:r>
      <w:r>
        <w:tab/>
      </w:r>
      <w:r w:rsidRPr="00553308">
        <w:rPr>
          <w:rFonts w:eastAsia="Calibri" w:cs="Arial"/>
          <w:i/>
          <w:lang w:bidi="ar-SA"/>
        </w:rPr>
        <w:t>Identity</w:t>
      </w:r>
    </w:p>
    <w:tbl>
      <w:tblPr>
        <w:tblStyle w:val="TableGrid31"/>
        <w:tblW w:w="0" w:type="auto"/>
        <w:tblLook w:val="04A0" w:firstRow="1" w:lastRow="0" w:firstColumn="1" w:lastColumn="0" w:noHBand="0" w:noVBand="1"/>
        <w:tblCaption w:val="Table 1"/>
        <w:tblDescription w:val="Identity and relevant details of the enzyme maltogenic alpha-amylase."/>
      </w:tblPr>
      <w:tblGrid>
        <w:gridCol w:w="2689"/>
        <w:gridCol w:w="6371"/>
      </w:tblGrid>
      <w:tr w:rsidR="008441E8" w:rsidRPr="001D1FB4" w14:paraId="61A249AC" w14:textId="77777777" w:rsidTr="00666FFC">
        <w:tc>
          <w:tcPr>
            <w:tcW w:w="2689" w:type="dxa"/>
          </w:tcPr>
          <w:p w14:paraId="08E46F32" w14:textId="77777777" w:rsidR="008441E8" w:rsidRPr="001D1FB4" w:rsidRDefault="008441E8" w:rsidP="00666FFC">
            <w:pPr>
              <w:rPr>
                <w:b/>
                <w:i/>
              </w:rPr>
            </w:pPr>
            <w:r w:rsidRPr="001D1FB4">
              <w:rPr>
                <w:b/>
                <w:i/>
              </w:rPr>
              <w:t>Generic common name:</w:t>
            </w:r>
          </w:p>
        </w:tc>
        <w:tc>
          <w:tcPr>
            <w:tcW w:w="6371" w:type="dxa"/>
          </w:tcPr>
          <w:p w14:paraId="3E8A7B20" w14:textId="77777777" w:rsidR="008441E8" w:rsidRPr="00A2763F" w:rsidRDefault="008441E8" w:rsidP="00666FFC">
            <w:pPr>
              <w:rPr>
                <w:vertAlign w:val="subscript"/>
              </w:rPr>
            </w:pPr>
            <w:r>
              <w:t>Phospholipase A</w:t>
            </w:r>
            <w:r w:rsidRPr="00A2763F">
              <w:t>1</w:t>
            </w:r>
          </w:p>
        </w:tc>
      </w:tr>
      <w:tr w:rsidR="008441E8" w:rsidRPr="001D1FB4" w14:paraId="677DBCB9" w14:textId="77777777" w:rsidTr="00666FFC">
        <w:tc>
          <w:tcPr>
            <w:tcW w:w="2689" w:type="dxa"/>
          </w:tcPr>
          <w:p w14:paraId="29F13D87" w14:textId="77777777" w:rsidR="008441E8" w:rsidRPr="001D1FB4" w:rsidRDefault="008441E8" w:rsidP="00666FFC">
            <w:pPr>
              <w:rPr>
                <w:b/>
                <w:i/>
              </w:rPr>
            </w:pPr>
            <w:r w:rsidRPr="001D1FB4">
              <w:rPr>
                <w:b/>
                <w:i/>
              </w:rPr>
              <w:t>Accepted IUBMB name:</w:t>
            </w:r>
          </w:p>
        </w:tc>
        <w:tc>
          <w:tcPr>
            <w:tcW w:w="6371" w:type="dxa"/>
          </w:tcPr>
          <w:p w14:paraId="26D2290E" w14:textId="77777777" w:rsidR="008441E8" w:rsidRPr="001D1FB4" w:rsidRDefault="008441E8" w:rsidP="00666FFC">
            <w:r>
              <w:t>P</w:t>
            </w:r>
            <w:r w:rsidRPr="00112179">
              <w:t>hospholipase A</w:t>
            </w:r>
            <w:r w:rsidRPr="00112179">
              <w:rPr>
                <w:vertAlign w:val="subscript"/>
              </w:rPr>
              <w:t>1</w:t>
            </w:r>
          </w:p>
        </w:tc>
      </w:tr>
      <w:tr w:rsidR="008441E8" w:rsidRPr="001D1FB4" w14:paraId="1374E1A1" w14:textId="77777777" w:rsidTr="00666FFC">
        <w:tc>
          <w:tcPr>
            <w:tcW w:w="2689" w:type="dxa"/>
          </w:tcPr>
          <w:p w14:paraId="5DBDFFB7" w14:textId="77777777" w:rsidR="008441E8" w:rsidRPr="001D1FB4" w:rsidRDefault="008441E8" w:rsidP="00666FFC">
            <w:pPr>
              <w:rPr>
                <w:b/>
                <w:i/>
              </w:rPr>
            </w:pPr>
            <w:r w:rsidRPr="00BC1815">
              <w:rPr>
                <w:b/>
                <w:i/>
              </w:rPr>
              <w:t>Systematic name:</w:t>
            </w:r>
          </w:p>
        </w:tc>
        <w:tc>
          <w:tcPr>
            <w:tcW w:w="6371" w:type="dxa"/>
          </w:tcPr>
          <w:p w14:paraId="5D07E8A5" w14:textId="77777777" w:rsidR="008441E8" w:rsidRPr="001D1FB4" w:rsidRDefault="008441E8" w:rsidP="00666FFC">
            <w:r>
              <w:t>P</w:t>
            </w:r>
            <w:r w:rsidRPr="00112179">
              <w:t>hosphatidylcholine 1-acylhydrolase</w:t>
            </w:r>
          </w:p>
        </w:tc>
      </w:tr>
      <w:tr w:rsidR="008441E8" w:rsidRPr="001D1FB4" w14:paraId="292AD3C3" w14:textId="77777777" w:rsidTr="00666FFC">
        <w:tc>
          <w:tcPr>
            <w:tcW w:w="2689" w:type="dxa"/>
          </w:tcPr>
          <w:p w14:paraId="06008F3F" w14:textId="77777777" w:rsidR="008441E8" w:rsidRPr="001D1FB4" w:rsidRDefault="008441E8" w:rsidP="00666FFC">
            <w:pPr>
              <w:rPr>
                <w:b/>
                <w:i/>
              </w:rPr>
            </w:pPr>
            <w:r>
              <w:rPr>
                <w:b/>
                <w:i/>
              </w:rPr>
              <w:lastRenderedPageBreak/>
              <w:t>Other names:</w:t>
            </w:r>
          </w:p>
        </w:tc>
        <w:tc>
          <w:tcPr>
            <w:tcW w:w="6371" w:type="dxa"/>
          </w:tcPr>
          <w:p w14:paraId="5E840860" w14:textId="77777777" w:rsidR="008441E8" w:rsidRDefault="008441E8" w:rsidP="00666FFC">
            <w:pPr>
              <w:rPr>
                <w:vertAlign w:val="subscript"/>
              </w:rPr>
            </w:pPr>
            <w:r>
              <w:t>PS-PLA1</w:t>
            </w:r>
          </w:p>
          <w:p w14:paraId="0A423653" w14:textId="77777777" w:rsidR="008441E8" w:rsidRPr="00A2763F" w:rsidRDefault="008441E8" w:rsidP="00666FFC">
            <w:pPr>
              <w:rPr>
                <w:highlight w:val="yellow"/>
              </w:rPr>
            </w:pPr>
            <w:r>
              <w:t>Phosphatidylserine-specific phospholipase A</w:t>
            </w:r>
            <w:r w:rsidRPr="00A2763F">
              <w:rPr>
                <w:vertAlign w:val="subscript"/>
              </w:rPr>
              <w:t>1</w:t>
            </w:r>
          </w:p>
        </w:tc>
      </w:tr>
      <w:tr w:rsidR="008441E8" w:rsidRPr="001D1FB4" w14:paraId="4D1F9CE3" w14:textId="77777777" w:rsidTr="00666FFC">
        <w:tc>
          <w:tcPr>
            <w:tcW w:w="2689" w:type="dxa"/>
          </w:tcPr>
          <w:p w14:paraId="6B0AAFDC" w14:textId="77777777" w:rsidR="008441E8" w:rsidRPr="001D1FB4" w:rsidRDefault="008441E8" w:rsidP="00666FFC">
            <w:pPr>
              <w:rPr>
                <w:b/>
                <w:i/>
              </w:rPr>
            </w:pPr>
            <w:r>
              <w:rPr>
                <w:b/>
                <w:i/>
              </w:rPr>
              <w:t>EC number:</w:t>
            </w:r>
          </w:p>
        </w:tc>
        <w:tc>
          <w:tcPr>
            <w:tcW w:w="6371" w:type="dxa"/>
          </w:tcPr>
          <w:p w14:paraId="14098AD4" w14:textId="77777777" w:rsidR="008441E8" w:rsidRPr="00112179" w:rsidRDefault="008441E8" w:rsidP="00666FFC">
            <w:r w:rsidRPr="00112179">
              <w:rPr>
                <w:bCs/>
              </w:rPr>
              <w:t>3.1.1.32</w:t>
            </w:r>
          </w:p>
        </w:tc>
      </w:tr>
      <w:tr w:rsidR="008441E8" w:rsidRPr="001D1FB4" w14:paraId="2FE1B68D" w14:textId="77777777" w:rsidTr="00666FFC">
        <w:tc>
          <w:tcPr>
            <w:tcW w:w="2689" w:type="dxa"/>
          </w:tcPr>
          <w:p w14:paraId="50D2A14E" w14:textId="77777777" w:rsidR="008441E8" w:rsidRPr="001D1FB4" w:rsidRDefault="008441E8" w:rsidP="00666FFC">
            <w:pPr>
              <w:rPr>
                <w:b/>
                <w:i/>
              </w:rPr>
            </w:pPr>
            <w:r w:rsidRPr="001D1FB4">
              <w:rPr>
                <w:b/>
                <w:i/>
              </w:rPr>
              <w:t>Reaction:</w:t>
            </w:r>
          </w:p>
        </w:tc>
        <w:tc>
          <w:tcPr>
            <w:tcW w:w="6371" w:type="dxa"/>
          </w:tcPr>
          <w:p w14:paraId="3B831C4E" w14:textId="77777777" w:rsidR="008441E8" w:rsidRPr="001D1FB4" w:rsidRDefault="008441E8" w:rsidP="00666FFC">
            <w:r w:rsidRPr="00112179">
              <w:t>phosphatidylcholine + H</w:t>
            </w:r>
            <w:r w:rsidRPr="00112179">
              <w:rPr>
                <w:vertAlign w:val="subscript"/>
              </w:rPr>
              <w:t>2</w:t>
            </w:r>
            <w:r w:rsidRPr="00112179">
              <w:t>O = 2-acylglycerophosphocholine + a carboxylate</w:t>
            </w:r>
          </w:p>
        </w:tc>
      </w:tr>
    </w:tbl>
    <w:p w14:paraId="01250D61" w14:textId="517873BF" w:rsidR="008441E8" w:rsidRPr="000E6D92" w:rsidRDefault="008441E8" w:rsidP="008441E8">
      <w:pPr>
        <w:autoSpaceDE w:val="0"/>
        <w:autoSpaceDN w:val="0"/>
        <w:adjustRightInd w:val="0"/>
        <w:rPr>
          <w:szCs w:val="22"/>
          <w:lang w:eastAsia="en-AU" w:bidi="ar-SA"/>
        </w:rPr>
      </w:pPr>
      <w:r>
        <w:rPr>
          <w:szCs w:val="22"/>
        </w:rPr>
        <w:t>For a</w:t>
      </w:r>
      <w:r w:rsidRPr="000E6D92">
        <w:rPr>
          <w:szCs w:val="22"/>
        </w:rPr>
        <w:t xml:space="preserve"> </w:t>
      </w:r>
      <w:r>
        <w:rPr>
          <w:szCs w:val="22"/>
        </w:rPr>
        <w:t xml:space="preserve">graphical </w:t>
      </w:r>
      <w:r w:rsidRPr="000E6D92">
        <w:rPr>
          <w:szCs w:val="22"/>
        </w:rPr>
        <w:t xml:space="preserve">representation of the hydrolysis reaction </w:t>
      </w:r>
      <w:r w:rsidRPr="000E6D92">
        <w:rPr>
          <w:szCs w:val="22"/>
          <w:lang w:eastAsia="en-AU" w:bidi="ar-SA"/>
        </w:rPr>
        <w:t xml:space="preserve">catalysed by </w:t>
      </w:r>
      <w:r>
        <w:rPr>
          <w:szCs w:val="22"/>
          <w:lang w:eastAsia="en-AU" w:bidi="ar-SA"/>
        </w:rPr>
        <w:t>phospholipase A</w:t>
      </w:r>
      <w:r w:rsidRPr="00A2763F">
        <w:rPr>
          <w:szCs w:val="22"/>
          <w:lang w:eastAsia="en-AU" w:bidi="ar-SA"/>
        </w:rPr>
        <w:t>1</w:t>
      </w:r>
      <w:r w:rsidRPr="000E6D92">
        <w:rPr>
          <w:szCs w:val="22"/>
          <w:lang w:eastAsia="en-AU" w:bidi="ar-SA"/>
        </w:rPr>
        <w:t>, refer to</w:t>
      </w:r>
      <w:r>
        <w:rPr>
          <w:szCs w:val="22"/>
          <w:lang w:eastAsia="en-AU" w:bidi="ar-SA"/>
        </w:rPr>
        <w:t xml:space="preserve"> its record in the enzyme database</w:t>
      </w:r>
      <w:r w:rsidRPr="000E6D92">
        <w:rPr>
          <w:szCs w:val="22"/>
          <w:lang w:eastAsia="en-AU" w:bidi="ar-SA"/>
        </w:rPr>
        <w:t xml:space="preserve"> BRENDA</w:t>
      </w:r>
      <w:r>
        <w:rPr>
          <w:szCs w:val="22"/>
          <w:lang w:eastAsia="en-AU" w:bidi="ar-SA"/>
        </w:rPr>
        <w:t xml:space="preserve"> (Chang et al 2021)</w:t>
      </w:r>
      <w:r w:rsidRPr="000E6D92">
        <w:rPr>
          <w:szCs w:val="22"/>
          <w:lang w:eastAsia="en-AU" w:bidi="ar-SA"/>
        </w:rPr>
        <w:t>.</w:t>
      </w:r>
    </w:p>
    <w:p w14:paraId="057EE0AA" w14:textId="77777777" w:rsidR="008441E8" w:rsidRPr="001D1FB4" w:rsidRDefault="008441E8" w:rsidP="00553308">
      <w:pPr>
        <w:rPr>
          <w:rFonts w:cs="Arial"/>
          <w:b/>
          <w:bCs/>
          <w:sz w:val="28"/>
          <w:szCs w:val="28"/>
          <w:lang w:bidi="ar-SA"/>
        </w:rPr>
      </w:pPr>
      <w:bookmarkStart w:id="39" w:name="_Toc67559427"/>
      <w:bookmarkStart w:id="40" w:name="_Toc75789513"/>
      <w:bookmarkStart w:id="41" w:name="_Toc76390762"/>
      <w:bookmarkStart w:id="42" w:name="_Toc95987203"/>
      <w:r w:rsidRPr="633F84AC">
        <w:rPr>
          <w:rFonts w:cs="Arial"/>
          <w:b/>
          <w:bCs/>
          <w:sz w:val="28"/>
          <w:szCs w:val="28"/>
          <w:lang w:bidi="ar-SA"/>
        </w:rPr>
        <w:t>2.2</w:t>
      </w:r>
      <w:r>
        <w:tab/>
      </w:r>
      <w:r w:rsidRPr="633F84AC">
        <w:rPr>
          <w:rFonts w:cs="Arial"/>
          <w:b/>
          <w:bCs/>
          <w:sz w:val="28"/>
          <w:szCs w:val="28"/>
          <w:lang w:bidi="ar-SA"/>
        </w:rPr>
        <w:t>Manufacturing process</w:t>
      </w:r>
      <w:bookmarkEnd w:id="39"/>
      <w:bookmarkEnd w:id="40"/>
      <w:bookmarkEnd w:id="41"/>
      <w:bookmarkEnd w:id="42"/>
    </w:p>
    <w:p w14:paraId="6F7D837E" w14:textId="77777777" w:rsidR="008441E8" w:rsidRPr="001D1FB4" w:rsidRDefault="008441E8" w:rsidP="008441E8">
      <w:pPr>
        <w:keepNext/>
        <w:spacing w:before="240" w:after="240"/>
        <w:ind w:left="851" w:hanging="851"/>
        <w:outlineLvl w:val="2"/>
        <w:rPr>
          <w:b/>
          <w:bCs/>
          <w:color w:val="000000" w:themeColor="text1"/>
          <w:lang w:eastAsia="en-AU" w:bidi="ar-SA"/>
        </w:rPr>
      </w:pPr>
      <w:bookmarkStart w:id="43" w:name="_Toc67559428"/>
      <w:bookmarkStart w:id="44" w:name="_Toc95987204"/>
      <w:bookmarkStart w:id="45" w:name="_Toc99464550"/>
      <w:bookmarkStart w:id="46" w:name="_Toc99458047"/>
      <w:bookmarkStart w:id="47" w:name="_Toc100130606"/>
      <w:bookmarkStart w:id="48" w:name="_Toc107222995"/>
      <w:r w:rsidRPr="001D1FB4">
        <w:rPr>
          <w:b/>
          <w:bCs/>
          <w:color w:val="000000" w:themeColor="text1"/>
          <w:lang w:eastAsia="en-AU" w:bidi="ar-SA"/>
        </w:rPr>
        <w:t>2.2.1</w:t>
      </w:r>
      <w:r w:rsidRPr="001D1FB4">
        <w:rPr>
          <w:b/>
          <w:bCs/>
          <w:color w:val="000000" w:themeColor="text1"/>
          <w:lang w:eastAsia="en-AU" w:bidi="ar-SA"/>
        </w:rPr>
        <w:tab/>
        <w:t>Production of the enzyme</w:t>
      </w:r>
      <w:bookmarkEnd w:id="43"/>
      <w:bookmarkEnd w:id="44"/>
      <w:bookmarkEnd w:id="45"/>
      <w:bookmarkEnd w:id="46"/>
      <w:bookmarkEnd w:id="47"/>
      <w:bookmarkEnd w:id="48"/>
    </w:p>
    <w:p w14:paraId="3D2A64C7" w14:textId="5A87CCD1" w:rsidR="008441E8" w:rsidRDefault="008441E8" w:rsidP="008441E8">
      <w:pPr>
        <w:rPr>
          <w:lang w:eastAsia="en-AU"/>
        </w:rPr>
      </w:pPr>
      <w:r>
        <w:rPr>
          <w:iCs/>
          <w:lang w:eastAsia="en-AU"/>
        </w:rPr>
        <w:t>Novozymes’</w:t>
      </w:r>
      <w:r>
        <w:rPr>
          <w:i/>
          <w:iCs/>
          <w:lang w:eastAsia="en-AU"/>
        </w:rPr>
        <w:t xml:space="preserve"> </w:t>
      </w:r>
      <w:r>
        <w:t>phospholipase A</w:t>
      </w:r>
      <w:r w:rsidRPr="00A2763F">
        <w:t>1</w:t>
      </w:r>
      <w:r w:rsidRPr="00DE54B3">
        <w:rPr>
          <w:lang w:eastAsia="en-AU"/>
        </w:rPr>
        <w:t xml:space="preserve"> </w:t>
      </w:r>
      <w:r w:rsidRPr="00E266D6">
        <w:rPr>
          <w:lang w:eastAsia="en-AU"/>
        </w:rPr>
        <w:t xml:space="preserve">is produced by submerged fermentation </w:t>
      </w:r>
      <w:r>
        <w:rPr>
          <w:lang w:eastAsia="en-AU"/>
        </w:rPr>
        <w:t xml:space="preserve">of the </w:t>
      </w:r>
      <w:r w:rsidR="00C11522">
        <w:rPr>
          <w:lang w:eastAsia="en-AU"/>
        </w:rPr>
        <w:t>GM</w:t>
      </w:r>
      <w:r>
        <w:rPr>
          <w:lang w:eastAsia="en-AU"/>
        </w:rPr>
        <w:t xml:space="preserve"> strain of </w:t>
      </w:r>
      <w:r w:rsidRPr="00782EE9">
        <w:rPr>
          <w:i/>
          <w:lang w:eastAsia="en-AU"/>
        </w:rPr>
        <w:t>A</w:t>
      </w:r>
      <w:r>
        <w:rPr>
          <w:i/>
          <w:lang w:eastAsia="en-AU"/>
        </w:rPr>
        <w:t>.</w:t>
      </w:r>
      <w:r w:rsidRPr="00782EE9">
        <w:rPr>
          <w:i/>
          <w:lang w:eastAsia="en-AU"/>
        </w:rPr>
        <w:t xml:space="preserve"> </w:t>
      </w:r>
      <w:r>
        <w:rPr>
          <w:i/>
          <w:lang w:eastAsia="en-AU"/>
        </w:rPr>
        <w:t>niger</w:t>
      </w:r>
      <w:r>
        <w:rPr>
          <w:lang w:eastAsia="en-AU"/>
        </w:rPr>
        <w:t>.</w:t>
      </w:r>
      <w:r w:rsidRPr="00E266D6">
        <w:rPr>
          <w:lang w:eastAsia="en-AU"/>
        </w:rPr>
        <w:t xml:space="preserve"> The fermentation steps are inoculum, seed fermentation, </w:t>
      </w:r>
      <w:r w:rsidR="00F20B06">
        <w:rPr>
          <w:lang w:eastAsia="en-AU"/>
        </w:rPr>
        <w:t xml:space="preserve">and </w:t>
      </w:r>
      <w:r w:rsidRPr="00E266D6">
        <w:rPr>
          <w:lang w:eastAsia="en-AU"/>
        </w:rPr>
        <w:t>main fermentation</w:t>
      </w:r>
      <w:r w:rsidR="00F20B06">
        <w:rPr>
          <w:lang w:eastAsia="en-AU"/>
        </w:rPr>
        <w:t>. A</w:t>
      </w:r>
      <w:r w:rsidRPr="00E266D6">
        <w:rPr>
          <w:lang w:eastAsia="en-AU"/>
        </w:rPr>
        <w:t xml:space="preserve"> recovery stage </w:t>
      </w:r>
      <w:r w:rsidR="00F20B06">
        <w:rPr>
          <w:lang w:eastAsia="en-AU"/>
        </w:rPr>
        <w:t xml:space="preserve">follows fermentation, </w:t>
      </w:r>
      <w:r w:rsidRPr="00E266D6">
        <w:rPr>
          <w:lang w:eastAsia="en-AU"/>
        </w:rPr>
        <w:t>involving primary and liquid separation, germ filtration</w:t>
      </w:r>
      <w:r>
        <w:rPr>
          <w:lang w:eastAsia="en-AU"/>
        </w:rPr>
        <w:t>,</w:t>
      </w:r>
      <w:r w:rsidRPr="00E266D6">
        <w:rPr>
          <w:lang w:eastAsia="en-AU"/>
        </w:rPr>
        <w:t xml:space="preserve"> concentration to achieve the desired enzyme activity, </w:t>
      </w:r>
      <w:r>
        <w:rPr>
          <w:lang w:eastAsia="en-AU"/>
        </w:rPr>
        <w:t>evaporation</w:t>
      </w:r>
      <w:r w:rsidRPr="00E266D6">
        <w:rPr>
          <w:lang w:eastAsia="en-AU"/>
        </w:rPr>
        <w:t xml:space="preserve"> and </w:t>
      </w:r>
      <w:r>
        <w:rPr>
          <w:lang w:eastAsia="en-AU"/>
        </w:rPr>
        <w:t xml:space="preserve">stabilisation </w:t>
      </w:r>
      <w:r w:rsidRPr="00E266D6">
        <w:rPr>
          <w:lang w:eastAsia="en-AU"/>
        </w:rPr>
        <w:t xml:space="preserve">to provide a concentrated enzyme solution free of the production strain and insoluble substances. </w:t>
      </w:r>
      <w:r>
        <w:rPr>
          <w:lang w:eastAsia="en-AU"/>
        </w:rPr>
        <w:t xml:space="preserve">This is followed by </w:t>
      </w:r>
      <w:r w:rsidRPr="00E266D6">
        <w:rPr>
          <w:lang w:eastAsia="en-AU"/>
        </w:rPr>
        <w:t xml:space="preserve">formulation </w:t>
      </w:r>
      <w:r>
        <w:rPr>
          <w:lang w:eastAsia="en-AU"/>
        </w:rPr>
        <w:t xml:space="preserve">of the enzyme into an enzyme preparation. </w:t>
      </w:r>
      <w:r w:rsidR="00770233">
        <w:rPr>
          <w:lang w:eastAsia="en-AU" w:bidi="ar-SA"/>
        </w:rPr>
        <w:t>Enzymes are generally sold as enzyme preparations, which consist of the enzyme(s) and other ingredients, to facilitate their storage, sale, standardisation, dilution or dissolution.</w:t>
      </w:r>
      <w:r w:rsidR="00770233">
        <w:rPr>
          <w:lang w:eastAsia="en-AU"/>
        </w:rPr>
        <w:t xml:space="preserve"> </w:t>
      </w:r>
      <w:r>
        <w:rPr>
          <w:iCs/>
          <w:lang w:eastAsia="en-AU"/>
        </w:rPr>
        <w:t>Novozymes’</w:t>
      </w:r>
      <w:r>
        <w:rPr>
          <w:i/>
          <w:iCs/>
          <w:lang w:eastAsia="en-AU"/>
        </w:rPr>
        <w:t xml:space="preserve"> </w:t>
      </w:r>
      <w:r>
        <w:t>phospholipase A</w:t>
      </w:r>
      <w:r w:rsidRPr="00A2763F">
        <w:t>1</w:t>
      </w:r>
      <w:r w:rsidRPr="00E266D6">
        <w:rPr>
          <w:lang w:eastAsia="en-AU"/>
        </w:rPr>
        <w:t xml:space="preserve"> </w:t>
      </w:r>
      <w:r>
        <w:rPr>
          <w:lang w:eastAsia="en-AU"/>
        </w:rPr>
        <w:t>enzyme preparation is sold as a liquid product consisting of glycerol, potassium sorbate, sodium benzoate, and sorbitol</w:t>
      </w:r>
      <w:r w:rsidRPr="00E266D6">
        <w:rPr>
          <w:lang w:eastAsia="en-AU"/>
        </w:rPr>
        <w:t>. The production is manufactured in accordance with curr</w:t>
      </w:r>
      <w:r>
        <w:rPr>
          <w:lang w:eastAsia="en-AU"/>
        </w:rPr>
        <w:t>ent Good Manufacturing Practice</w:t>
      </w:r>
      <w:r w:rsidRPr="00E266D6">
        <w:rPr>
          <w:lang w:eastAsia="en-AU"/>
        </w:rPr>
        <w:t xml:space="preserve"> for Food </w:t>
      </w:r>
      <w:r>
        <w:rPr>
          <w:lang w:eastAsia="en-AU"/>
        </w:rPr>
        <w:t xml:space="preserve">(cGMP) </w:t>
      </w:r>
      <w:r w:rsidRPr="00E266D6">
        <w:rPr>
          <w:lang w:eastAsia="en-AU"/>
        </w:rPr>
        <w:t>and the princip</w:t>
      </w:r>
      <w:r>
        <w:rPr>
          <w:lang w:eastAsia="en-AU"/>
        </w:rPr>
        <w:t>le</w:t>
      </w:r>
      <w:r w:rsidRPr="00E266D6">
        <w:rPr>
          <w:lang w:eastAsia="en-AU"/>
        </w:rPr>
        <w:t>s of Hazard Ana</w:t>
      </w:r>
      <w:r>
        <w:rPr>
          <w:lang w:eastAsia="en-AU"/>
        </w:rPr>
        <w:t>lysis and Critical Control Point (HACCP).</w:t>
      </w:r>
    </w:p>
    <w:p w14:paraId="1E690561" w14:textId="7C2422D6" w:rsidR="008441E8" w:rsidRDefault="008441E8" w:rsidP="008441E8">
      <w:pPr>
        <w:rPr>
          <w:lang w:eastAsia="en-AU" w:bidi="ar-SA"/>
        </w:rPr>
      </w:pPr>
      <w:r>
        <w:rPr>
          <w:lang w:eastAsia="en-AU"/>
        </w:rPr>
        <w:t>The application states that all</w:t>
      </w:r>
      <w:r w:rsidRPr="00E266D6">
        <w:rPr>
          <w:lang w:eastAsia="en-AU"/>
        </w:rPr>
        <w:t xml:space="preserve"> raw materials used in the fermentation and recovery processes are standard ingredients of food grade quality that meet predefined quality standards</w:t>
      </w:r>
      <w:r>
        <w:rPr>
          <w:lang w:eastAsia="en-AU"/>
        </w:rPr>
        <w:t xml:space="preserve">. </w:t>
      </w:r>
      <w:r w:rsidRPr="004B77D5">
        <w:rPr>
          <w:lang w:eastAsia="en-AU"/>
        </w:rPr>
        <w:t>The raw materials conform to either specifications set out in the Food Chemical</w:t>
      </w:r>
      <w:r w:rsidR="000D493B">
        <w:rPr>
          <w:lang w:eastAsia="en-AU"/>
        </w:rPr>
        <w:t>s</w:t>
      </w:r>
      <w:r w:rsidRPr="004B77D5">
        <w:rPr>
          <w:lang w:eastAsia="en-AU"/>
        </w:rPr>
        <w:t xml:space="preserve"> Codex, 12th edition, 2020 or regulations applying in the European Union.</w:t>
      </w:r>
    </w:p>
    <w:p w14:paraId="3E0020F9" w14:textId="2345F760" w:rsidR="008441E8" w:rsidRDefault="008441E8" w:rsidP="008441E8">
      <w:pPr>
        <w:rPr>
          <w:lang w:eastAsia="en-AU" w:bidi="ar-SA"/>
        </w:rPr>
      </w:pPr>
      <w:r>
        <w:rPr>
          <w:lang w:eastAsia="en-AU" w:bidi="ar-SA"/>
        </w:rPr>
        <w:t>Details on the manufacturing process, raw materials and ingredients used in the production of the phospholipase A</w:t>
      </w:r>
      <w:r w:rsidRPr="00A2763F">
        <w:rPr>
          <w:lang w:eastAsia="en-AU" w:bidi="ar-SA"/>
        </w:rPr>
        <w:t>1</w:t>
      </w:r>
      <w:r>
        <w:rPr>
          <w:lang w:eastAsia="en-AU" w:bidi="ar-SA"/>
        </w:rPr>
        <w:t xml:space="preserve"> enzyme preparation were provided in the application or as Confidential Commercial Information</w:t>
      </w:r>
      <w:r w:rsidR="000D493B">
        <w:rPr>
          <w:lang w:eastAsia="en-AU" w:bidi="ar-SA"/>
        </w:rPr>
        <w:t xml:space="preserve"> (CCI)</w:t>
      </w:r>
      <w:r>
        <w:rPr>
          <w:lang w:eastAsia="en-AU" w:bidi="ar-SA"/>
        </w:rPr>
        <w:t>.</w:t>
      </w:r>
    </w:p>
    <w:p w14:paraId="50CCB4C5" w14:textId="77777777" w:rsidR="0097427B" w:rsidRPr="00553308" w:rsidRDefault="0097427B" w:rsidP="00553308">
      <w:pPr>
        <w:keepNext/>
        <w:spacing w:before="240" w:after="240"/>
        <w:ind w:left="851" w:hanging="851"/>
        <w:outlineLvl w:val="2"/>
        <w:rPr>
          <w:b/>
          <w:bCs/>
          <w:color w:val="000000" w:themeColor="text1"/>
          <w:lang w:eastAsia="en-AU" w:bidi="ar-SA"/>
        </w:rPr>
      </w:pPr>
      <w:bookmarkStart w:id="49" w:name="_Toc99712179"/>
      <w:bookmarkStart w:id="50" w:name="_Toc107222996"/>
      <w:r w:rsidRPr="00553308">
        <w:rPr>
          <w:b/>
          <w:bCs/>
          <w:color w:val="000000" w:themeColor="text1"/>
          <w:lang w:eastAsia="en-AU" w:bidi="ar-SA"/>
        </w:rPr>
        <w:t>2.2.2</w:t>
      </w:r>
      <w:r w:rsidRPr="00553308">
        <w:rPr>
          <w:b/>
          <w:bCs/>
          <w:color w:val="000000" w:themeColor="text1"/>
          <w:lang w:eastAsia="en-AU" w:bidi="ar-SA"/>
        </w:rPr>
        <w:tab/>
        <w:t>Allergen considerations</w:t>
      </w:r>
      <w:bookmarkEnd w:id="49"/>
      <w:bookmarkEnd w:id="50"/>
    </w:p>
    <w:p w14:paraId="24AAFD9B" w14:textId="5DDFB659" w:rsidR="0097427B" w:rsidRDefault="0097427B" w:rsidP="0097427B">
      <w:pPr>
        <w:rPr>
          <w:lang w:eastAsia="en-AU" w:bidi="ar-SA"/>
        </w:rPr>
      </w:pPr>
      <w:r w:rsidRPr="0097427B">
        <w:rPr>
          <w:lang w:eastAsia="en-AU" w:bidi="ar-SA"/>
        </w:rPr>
        <w:t>The Product Data Sheet for the enzyme preparation</w:t>
      </w:r>
      <w:r w:rsidR="00BA2050">
        <w:rPr>
          <w:lang w:eastAsia="en-AU" w:bidi="ar-SA"/>
        </w:rPr>
        <w:t xml:space="preserve"> </w:t>
      </w:r>
      <w:r w:rsidRPr="0097427B">
        <w:rPr>
          <w:lang w:eastAsia="en-AU" w:bidi="ar-SA"/>
        </w:rPr>
        <w:t xml:space="preserve">states that </w:t>
      </w:r>
      <w:r w:rsidR="00770233">
        <w:rPr>
          <w:lang w:eastAsia="en-AU" w:bidi="ar-SA"/>
        </w:rPr>
        <w:t xml:space="preserve">the following </w:t>
      </w:r>
      <w:r w:rsidRPr="0097427B">
        <w:rPr>
          <w:lang w:eastAsia="en-AU" w:bidi="ar-SA"/>
        </w:rPr>
        <w:t>allergens are not present: cereals containing gluten, crustaceans, egg, fish, lupin, milk (including lactose), molluscs, nuts, peanuts, sesame, soy, sulphites.</w:t>
      </w:r>
      <w:r w:rsidR="00F20B06" w:rsidRPr="00F20B06">
        <w:t xml:space="preserve"> </w:t>
      </w:r>
      <w:r w:rsidR="00F20B06" w:rsidRPr="00F20B06">
        <w:rPr>
          <w:lang w:eastAsia="en-AU" w:bidi="ar-SA"/>
        </w:rPr>
        <w:t xml:space="preserve">The applicant </w:t>
      </w:r>
      <w:r w:rsidR="00A379A8">
        <w:rPr>
          <w:lang w:eastAsia="en-AU" w:bidi="ar-SA"/>
        </w:rPr>
        <w:t>provided</w:t>
      </w:r>
      <w:r w:rsidR="00F20B06" w:rsidRPr="00F20B06">
        <w:rPr>
          <w:lang w:eastAsia="en-AU" w:bidi="ar-SA"/>
        </w:rPr>
        <w:t xml:space="preserve"> additional information as CCI, supporting the absence of </w:t>
      </w:r>
      <w:r w:rsidR="004768DD">
        <w:rPr>
          <w:lang w:eastAsia="en-AU" w:bidi="ar-SA"/>
        </w:rPr>
        <w:t>these</w:t>
      </w:r>
      <w:r w:rsidR="00F20B06" w:rsidRPr="00F20B06">
        <w:rPr>
          <w:lang w:eastAsia="en-AU" w:bidi="ar-SA"/>
        </w:rPr>
        <w:t xml:space="preserve"> allergens in their enzyme preparation and in </w:t>
      </w:r>
      <w:r w:rsidR="00C944E5">
        <w:rPr>
          <w:lang w:eastAsia="en-AU" w:bidi="ar-SA"/>
        </w:rPr>
        <w:t xml:space="preserve">vegetable oils </w:t>
      </w:r>
      <w:r w:rsidR="00770233">
        <w:rPr>
          <w:lang w:eastAsia="en-AU" w:bidi="ar-SA"/>
        </w:rPr>
        <w:t xml:space="preserve">manufactured </w:t>
      </w:r>
      <w:r w:rsidR="00C944E5">
        <w:rPr>
          <w:lang w:eastAsia="en-AU" w:bidi="ar-SA"/>
        </w:rPr>
        <w:t>with</w:t>
      </w:r>
      <w:r w:rsidR="00F20B06" w:rsidRPr="00F20B06">
        <w:rPr>
          <w:lang w:eastAsia="en-AU" w:bidi="ar-SA"/>
        </w:rPr>
        <w:t xml:space="preserve"> their enzyme preparation.</w:t>
      </w:r>
    </w:p>
    <w:p w14:paraId="25FDB5EB" w14:textId="4521CB53" w:rsidR="008441E8" w:rsidRPr="001D1FB4" w:rsidRDefault="008441E8" w:rsidP="0097427B">
      <w:pPr>
        <w:keepNext/>
        <w:spacing w:before="240" w:after="240"/>
        <w:ind w:left="851" w:hanging="851"/>
        <w:outlineLvl w:val="2"/>
        <w:rPr>
          <w:b/>
          <w:bCs/>
          <w:color w:val="000000" w:themeColor="text1"/>
          <w:lang w:eastAsia="en-AU" w:bidi="ar-SA"/>
        </w:rPr>
      </w:pPr>
      <w:bookmarkStart w:id="51" w:name="_Toc95987205"/>
      <w:bookmarkStart w:id="52" w:name="_Toc67559429"/>
      <w:bookmarkStart w:id="53" w:name="_Toc95987206"/>
      <w:bookmarkStart w:id="54" w:name="_Toc99464551"/>
      <w:bookmarkStart w:id="55" w:name="_Toc99458048"/>
      <w:bookmarkStart w:id="56" w:name="_Toc100130607"/>
      <w:bookmarkStart w:id="57" w:name="_Toc107222997"/>
      <w:bookmarkEnd w:id="51"/>
      <w:r w:rsidRPr="00553308">
        <w:rPr>
          <w:b/>
          <w:bCs/>
          <w:color w:val="000000" w:themeColor="text1"/>
          <w:lang w:eastAsia="en-AU" w:bidi="ar-SA"/>
        </w:rPr>
        <w:t>2.2.</w:t>
      </w:r>
      <w:r w:rsidR="0097427B" w:rsidRPr="00553308">
        <w:rPr>
          <w:b/>
          <w:bCs/>
          <w:color w:val="000000" w:themeColor="text1"/>
          <w:lang w:eastAsia="en-AU" w:bidi="ar-SA"/>
        </w:rPr>
        <w:t>3</w:t>
      </w:r>
      <w:r w:rsidRPr="00553308">
        <w:rPr>
          <w:b/>
          <w:bCs/>
          <w:color w:val="000000" w:themeColor="text1"/>
          <w:lang w:eastAsia="en-AU" w:bidi="ar-SA"/>
        </w:rPr>
        <w:tab/>
        <w:t>Specifications</w:t>
      </w:r>
      <w:bookmarkEnd w:id="52"/>
      <w:bookmarkEnd w:id="53"/>
      <w:bookmarkEnd w:id="54"/>
      <w:bookmarkEnd w:id="55"/>
      <w:bookmarkEnd w:id="56"/>
      <w:bookmarkEnd w:id="57"/>
    </w:p>
    <w:p w14:paraId="1138BA76" w14:textId="0193B661" w:rsidR="008441E8" w:rsidRDefault="008441E8" w:rsidP="008441E8">
      <w:pPr>
        <w:rPr>
          <w:lang w:eastAsia="en-AU" w:bidi="ar-SA"/>
        </w:rPr>
      </w:pPr>
      <w:r>
        <w:rPr>
          <w:lang w:eastAsia="en-AU" w:bidi="ar-SA"/>
        </w:rPr>
        <w:t xml:space="preserve">There are international specifications for enzyme preparations used in the production of food. These have been established by the Joint FAO/WHO Expert Committee on Food Additives (JECFA) in its Compendium of Food Additive Specifications (FAO/WHO 2006) and in the Food Chemicals Codex (FCC 2008). These specifications are included in earlier publications of the primary sources listed in section S3—2 of Schedule 3 of the Code and enzymes used as a processing aid must </w:t>
      </w:r>
      <w:r>
        <w:rPr>
          <w:lang w:eastAsia="en-AU" w:bidi="ar-SA"/>
        </w:rPr>
        <w:lastRenderedPageBreak/>
        <w:t xml:space="preserve">meet either of these specifications. The applicant states that the final enzyme preparation </w:t>
      </w:r>
      <w:r w:rsidR="00AB4367">
        <w:rPr>
          <w:lang w:eastAsia="en-AU" w:bidi="ar-SA"/>
        </w:rPr>
        <w:t>meets</w:t>
      </w:r>
      <w:r>
        <w:rPr>
          <w:lang w:eastAsia="en-AU" w:bidi="ar-SA"/>
        </w:rPr>
        <w:t xml:space="preserve"> the requirements in both of these specifications. Schedule 3 of the Code also includes specifications for arsenic and heavy metals (section S3—4) if they are not already detailed within specifications in sections S3—2 or S3—3.</w:t>
      </w:r>
    </w:p>
    <w:p w14:paraId="4855FC49" w14:textId="07EC6CCA" w:rsidR="008441E8" w:rsidRDefault="008441E8" w:rsidP="008441E8">
      <w:pPr>
        <w:rPr>
          <w:lang w:eastAsia="en-AU" w:bidi="ar-SA"/>
        </w:rPr>
      </w:pPr>
      <w:r>
        <w:rPr>
          <w:lang w:eastAsia="en-AU" w:bidi="ar-SA"/>
        </w:rPr>
        <w:t>The applicant provided the results of analysis of a representative batch of the phospholipase A</w:t>
      </w:r>
      <w:r w:rsidRPr="00A2763F">
        <w:rPr>
          <w:lang w:eastAsia="en-AU" w:bidi="ar-SA"/>
        </w:rPr>
        <w:t>1</w:t>
      </w:r>
      <w:r>
        <w:rPr>
          <w:lang w:eastAsia="en-AU" w:bidi="ar-SA"/>
        </w:rPr>
        <w:t xml:space="preserve"> preparation. Table 2 provides a comparison of the analyses with international specifications established by JECFA and Food Chemicals Codex, as well as those in the Code (as applicable). Based on these results, the enzyme preparation met all relevant specifications for arsenic and metals and the microbiological criteria.</w:t>
      </w:r>
    </w:p>
    <w:p w14:paraId="25BC57EF" w14:textId="5A38BFDD" w:rsidR="008441E8" w:rsidRDefault="008441E8" w:rsidP="008441E8">
      <w:pPr>
        <w:pStyle w:val="FSTableTitle"/>
        <w:keepNext/>
        <w:keepLines/>
        <w:spacing w:after="240"/>
        <w:ind w:left="1134" w:hanging="1134"/>
        <w:rPr>
          <w:b w:val="0"/>
          <w:i/>
          <w:sz w:val="24"/>
        </w:rPr>
      </w:pPr>
      <w:r>
        <w:rPr>
          <w:i/>
        </w:rPr>
        <w:t>Table 2</w:t>
      </w:r>
      <w:r>
        <w:tab/>
      </w:r>
      <w:r>
        <w:rPr>
          <w:b w:val="0"/>
          <w:i/>
        </w:rPr>
        <w:t xml:space="preserve">Comparison of </w:t>
      </w:r>
      <w:r w:rsidR="00574197">
        <w:rPr>
          <w:b w:val="0"/>
          <w:i/>
        </w:rPr>
        <w:t xml:space="preserve">Novozymes </w:t>
      </w:r>
      <w:r w:rsidRPr="00415882">
        <w:rPr>
          <w:b w:val="0"/>
          <w:i/>
        </w:rPr>
        <w:t>phospholipase A</w:t>
      </w:r>
      <w:r w:rsidRPr="00A2763F">
        <w:rPr>
          <w:b w:val="0"/>
          <w:i/>
        </w:rPr>
        <w:t>1</w:t>
      </w:r>
      <w:r w:rsidRPr="00415882">
        <w:rPr>
          <w:b w:val="0"/>
          <w:i/>
        </w:rPr>
        <w:t xml:space="preserve"> </w:t>
      </w:r>
      <w:r>
        <w:rPr>
          <w:b w:val="0"/>
          <w:i/>
        </w:rPr>
        <w:t>preparation compared to JECFA, Food Chemicals Codex, and Code specifications for enzymes</w:t>
      </w:r>
    </w:p>
    <w:tbl>
      <w:tblPr>
        <w:tblStyle w:val="TableClassic42"/>
        <w:tblW w:w="9072" w:type="dxa"/>
        <w:tblInd w:w="0"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410"/>
        <w:gridCol w:w="1701"/>
        <w:gridCol w:w="1559"/>
        <w:gridCol w:w="1594"/>
        <w:gridCol w:w="1808"/>
      </w:tblGrid>
      <w:tr w:rsidR="008441E8" w14:paraId="5A877E8E" w14:textId="77777777" w:rsidTr="008441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10" w:type="dxa"/>
            <w:vMerge w:val="restart"/>
            <w:tcBorders>
              <w:top w:val="nil"/>
              <w:left w:val="nil"/>
              <w:bottom w:val="single" w:sz="6" w:space="0" w:color="000000"/>
              <w:right w:val="nil"/>
            </w:tcBorders>
            <w:shd w:val="clear" w:color="auto" w:fill="616571"/>
            <w:vAlign w:val="bottom"/>
          </w:tcPr>
          <w:p w14:paraId="45863661" w14:textId="77777777" w:rsidR="008441E8" w:rsidRDefault="008441E8" w:rsidP="00666FFC">
            <w:pPr>
              <w:keepNext/>
              <w:keepLines/>
              <w:spacing w:before="60" w:after="60"/>
              <w:jc w:val="center"/>
              <w:rPr>
                <w:rFonts w:cs="Arial"/>
                <w:i w:val="0"/>
                <w:color w:val="FFFFFF" w:themeColor="background1"/>
                <w:szCs w:val="20"/>
              </w:rPr>
            </w:pPr>
            <w:r>
              <w:rPr>
                <w:rFonts w:cs="Arial"/>
                <w:i w:val="0"/>
                <w:color w:val="FFFFFF" w:themeColor="background1"/>
                <w:szCs w:val="20"/>
              </w:rPr>
              <w:t>Analysis</w:t>
            </w:r>
          </w:p>
        </w:tc>
        <w:tc>
          <w:tcPr>
            <w:tcW w:w="1701" w:type="dxa"/>
            <w:vMerge w:val="restart"/>
            <w:tcBorders>
              <w:top w:val="nil"/>
              <w:left w:val="nil"/>
              <w:bottom w:val="single" w:sz="6" w:space="0" w:color="000000"/>
              <w:right w:val="nil"/>
            </w:tcBorders>
            <w:shd w:val="clear" w:color="auto" w:fill="616571"/>
            <w:vAlign w:val="bottom"/>
            <w:hideMark/>
          </w:tcPr>
          <w:p w14:paraId="48E0F6D0"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Cs w:val="20"/>
              </w:rPr>
            </w:pPr>
            <w:r>
              <w:rPr>
                <w:rFonts w:cs="Arial"/>
                <w:i w:val="0"/>
                <w:color w:val="FFFFFF" w:themeColor="background1"/>
                <w:szCs w:val="20"/>
              </w:rPr>
              <w:t>Analysis provided by manufacturer</w:t>
            </w:r>
          </w:p>
        </w:tc>
        <w:tc>
          <w:tcPr>
            <w:tcW w:w="4961" w:type="dxa"/>
            <w:gridSpan w:val="3"/>
            <w:tcBorders>
              <w:top w:val="nil"/>
              <w:left w:val="nil"/>
              <w:bottom w:val="nil"/>
              <w:right w:val="nil"/>
            </w:tcBorders>
            <w:shd w:val="clear" w:color="auto" w:fill="616571"/>
            <w:hideMark/>
          </w:tcPr>
          <w:p w14:paraId="79695FA7"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Cs w:val="20"/>
              </w:rPr>
            </w:pPr>
            <w:r>
              <w:rPr>
                <w:rFonts w:cs="Arial"/>
                <w:i w:val="0"/>
                <w:color w:val="FFFFFF" w:themeColor="background1"/>
                <w:szCs w:val="20"/>
              </w:rPr>
              <w:t>Specifications</w:t>
            </w:r>
          </w:p>
        </w:tc>
      </w:tr>
      <w:tr w:rsidR="008441E8" w14:paraId="305872C7" w14:textId="77777777" w:rsidTr="008441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10" w:type="dxa"/>
            <w:vMerge/>
            <w:tcBorders>
              <w:top w:val="nil"/>
              <w:left w:val="nil"/>
              <w:right w:val="nil"/>
            </w:tcBorders>
            <w:vAlign w:val="center"/>
            <w:hideMark/>
          </w:tcPr>
          <w:p w14:paraId="1B0EF537" w14:textId="77777777" w:rsidR="008441E8" w:rsidRDefault="008441E8" w:rsidP="00666FFC">
            <w:pPr>
              <w:rPr>
                <w:rFonts w:cs="Arial"/>
                <w:color w:val="FFFFFF" w:themeColor="background1"/>
                <w:szCs w:val="20"/>
              </w:rPr>
            </w:pPr>
          </w:p>
        </w:tc>
        <w:tc>
          <w:tcPr>
            <w:tcW w:w="1701" w:type="dxa"/>
            <w:vMerge/>
            <w:tcBorders>
              <w:top w:val="nil"/>
              <w:left w:val="nil"/>
              <w:right w:val="nil"/>
            </w:tcBorders>
            <w:vAlign w:val="center"/>
            <w:hideMark/>
          </w:tcPr>
          <w:p w14:paraId="27E1FA7A" w14:textId="77777777" w:rsidR="008441E8" w:rsidRDefault="008441E8" w:rsidP="00666FF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
        </w:tc>
        <w:tc>
          <w:tcPr>
            <w:tcW w:w="1559" w:type="dxa"/>
            <w:tcBorders>
              <w:top w:val="nil"/>
              <w:left w:val="nil"/>
              <w:right w:val="nil"/>
            </w:tcBorders>
            <w:shd w:val="clear" w:color="auto" w:fill="616571"/>
            <w:vAlign w:val="bottom"/>
            <w:hideMark/>
          </w:tcPr>
          <w:p w14:paraId="2352D657"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JECFA</w:t>
            </w:r>
          </w:p>
          <w:p w14:paraId="3BF58E0A"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(2006)</w:t>
            </w:r>
          </w:p>
        </w:tc>
        <w:tc>
          <w:tcPr>
            <w:tcW w:w="1594" w:type="dxa"/>
            <w:tcBorders>
              <w:top w:val="nil"/>
              <w:left w:val="nil"/>
              <w:right w:val="nil"/>
            </w:tcBorders>
            <w:shd w:val="clear" w:color="auto" w:fill="616571"/>
            <w:vAlign w:val="bottom"/>
            <w:hideMark/>
          </w:tcPr>
          <w:p w14:paraId="5656E595"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Food Chemicals Codex</w:t>
            </w:r>
          </w:p>
          <w:p w14:paraId="5EB257B3"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(FCC, 2020)</w:t>
            </w:r>
          </w:p>
        </w:tc>
        <w:tc>
          <w:tcPr>
            <w:tcW w:w="1808" w:type="dxa"/>
            <w:tcBorders>
              <w:top w:val="nil"/>
              <w:left w:val="nil"/>
              <w:right w:val="nil"/>
            </w:tcBorders>
            <w:shd w:val="clear" w:color="auto" w:fill="616571"/>
            <w:vAlign w:val="bottom"/>
            <w:hideMark/>
          </w:tcPr>
          <w:p w14:paraId="7ADB4E4F"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Australia New Zealand Food Standards Code</w:t>
            </w:r>
          </w:p>
          <w:p w14:paraId="4A581633" w14:textId="77777777" w:rsidR="008441E8" w:rsidRDefault="008441E8" w:rsidP="00666FF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(section S3—4)</w:t>
            </w:r>
          </w:p>
        </w:tc>
      </w:tr>
      <w:tr w:rsidR="008441E8" w14:paraId="43F979CE"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shd w:val="clear" w:color="auto" w:fill="ECECEC"/>
            <w:hideMark/>
          </w:tcPr>
          <w:p w14:paraId="4C380460" w14:textId="77777777" w:rsidR="008441E8" w:rsidRDefault="008441E8" w:rsidP="00666FFC">
            <w:pPr>
              <w:spacing w:before="60" w:after="60"/>
              <w:rPr>
                <w:szCs w:val="20"/>
              </w:rPr>
            </w:pPr>
            <w:r>
              <w:rPr>
                <w:szCs w:val="20"/>
              </w:rPr>
              <w:t>Lead (mg/kg)</w:t>
            </w:r>
          </w:p>
        </w:tc>
        <w:tc>
          <w:tcPr>
            <w:tcW w:w="1701" w:type="dxa"/>
            <w:tcBorders>
              <w:top w:val="nil"/>
              <w:left w:val="nil"/>
              <w:bottom w:val="nil"/>
              <w:right w:val="nil"/>
            </w:tcBorders>
            <w:shd w:val="clear" w:color="auto" w:fill="ECECEC"/>
            <w:hideMark/>
          </w:tcPr>
          <w:p w14:paraId="1C0CA6AD"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&lt;0.5</w:t>
            </w:r>
          </w:p>
        </w:tc>
        <w:tc>
          <w:tcPr>
            <w:tcW w:w="1559" w:type="dxa"/>
            <w:tcBorders>
              <w:top w:val="nil"/>
              <w:left w:val="nil"/>
              <w:bottom w:val="nil"/>
              <w:right w:val="nil"/>
            </w:tcBorders>
            <w:shd w:val="clear" w:color="auto" w:fill="ECECEC"/>
            <w:hideMark/>
          </w:tcPr>
          <w:p w14:paraId="2C62FF7C"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≤5</w:t>
            </w:r>
          </w:p>
        </w:tc>
        <w:tc>
          <w:tcPr>
            <w:tcW w:w="1594" w:type="dxa"/>
            <w:tcBorders>
              <w:top w:val="nil"/>
              <w:left w:val="nil"/>
              <w:bottom w:val="nil"/>
              <w:right w:val="nil"/>
            </w:tcBorders>
            <w:shd w:val="clear" w:color="auto" w:fill="ECECEC"/>
            <w:hideMark/>
          </w:tcPr>
          <w:p w14:paraId="6CEFFA35"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≤5</w:t>
            </w:r>
          </w:p>
        </w:tc>
        <w:tc>
          <w:tcPr>
            <w:tcW w:w="1808" w:type="dxa"/>
            <w:tcBorders>
              <w:top w:val="nil"/>
              <w:left w:val="nil"/>
              <w:bottom w:val="nil"/>
              <w:right w:val="nil"/>
            </w:tcBorders>
            <w:shd w:val="clear" w:color="auto" w:fill="ECECEC"/>
            <w:hideMark/>
          </w:tcPr>
          <w:p w14:paraId="4D5EAC01"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≤2</w:t>
            </w:r>
          </w:p>
        </w:tc>
      </w:tr>
      <w:tr w:rsidR="008441E8" w14:paraId="18894441"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hideMark/>
          </w:tcPr>
          <w:p w14:paraId="54C2ACB3" w14:textId="77777777" w:rsidR="008441E8" w:rsidRDefault="008441E8" w:rsidP="00666FFC">
            <w:pPr>
              <w:spacing w:before="60" w:after="60"/>
              <w:rPr>
                <w:i/>
                <w:szCs w:val="20"/>
              </w:rPr>
            </w:pPr>
            <w:r>
              <w:rPr>
                <w:szCs w:val="20"/>
              </w:rPr>
              <w:t>Arsenic (mg/kg)</w:t>
            </w:r>
          </w:p>
        </w:tc>
        <w:tc>
          <w:tcPr>
            <w:tcW w:w="1701" w:type="dxa"/>
            <w:tcBorders>
              <w:top w:val="nil"/>
              <w:left w:val="nil"/>
              <w:bottom w:val="nil"/>
              <w:right w:val="nil"/>
            </w:tcBorders>
            <w:hideMark/>
          </w:tcPr>
          <w:p w14:paraId="4B683933"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&lt;0.3</w:t>
            </w:r>
          </w:p>
        </w:tc>
        <w:tc>
          <w:tcPr>
            <w:tcW w:w="1559" w:type="dxa"/>
            <w:tcBorders>
              <w:top w:val="nil"/>
              <w:left w:val="nil"/>
              <w:bottom w:val="nil"/>
              <w:right w:val="nil"/>
            </w:tcBorders>
            <w:hideMark/>
          </w:tcPr>
          <w:p w14:paraId="78674220"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594" w:type="dxa"/>
            <w:tcBorders>
              <w:top w:val="nil"/>
              <w:left w:val="nil"/>
              <w:bottom w:val="nil"/>
              <w:right w:val="nil"/>
            </w:tcBorders>
            <w:hideMark/>
          </w:tcPr>
          <w:p w14:paraId="2C60B558"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808" w:type="dxa"/>
            <w:tcBorders>
              <w:top w:val="nil"/>
              <w:left w:val="nil"/>
              <w:bottom w:val="nil"/>
              <w:right w:val="nil"/>
            </w:tcBorders>
            <w:hideMark/>
          </w:tcPr>
          <w:p w14:paraId="1519C438"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≤1</w:t>
            </w:r>
          </w:p>
        </w:tc>
      </w:tr>
      <w:tr w:rsidR="008441E8" w14:paraId="4BC04027"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shd w:val="clear" w:color="auto" w:fill="ECECEC"/>
            <w:hideMark/>
          </w:tcPr>
          <w:p w14:paraId="650C3605" w14:textId="77777777" w:rsidR="008441E8" w:rsidRDefault="008441E8" w:rsidP="00666FFC">
            <w:pPr>
              <w:spacing w:before="60" w:after="60"/>
              <w:rPr>
                <w:szCs w:val="20"/>
              </w:rPr>
            </w:pPr>
            <w:r>
              <w:rPr>
                <w:szCs w:val="20"/>
              </w:rPr>
              <w:t>Cadmium (mg/kg)</w:t>
            </w:r>
          </w:p>
        </w:tc>
        <w:tc>
          <w:tcPr>
            <w:tcW w:w="1701" w:type="dxa"/>
            <w:tcBorders>
              <w:top w:val="nil"/>
              <w:left w:val="nil"/>
              <w:bottom w:val="nil"/>
              <w:right w:val="nil"/>
            </w:tcBorders>
            <w:shd w:val="clear" w:color="auto" w:fill="ECECEC"/>
            <w:hideMark/>
          </w:tcPr>
          <w:p w14:paraId="208157CD"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&lt;0.05</w:t>
            </w:r>
          </w:p>
        </w:tc>
        <w:tc>
          <w:tcPr>
            <w:tcW w:w="1559" w:type="dxa"/>
            <w:tcBorders>
              <w:top w:val="nil"/>
              <w:left w:val="nil"/>
              <w:bottom w:val="nil"/>
              <w:right w:val="nil"/>
            </w:tcBorders>
            <w:shd w:val="clear" w:color="auto" w:fill="ECECEC"/>
            <w:hideMark/>
          </w:tcPr>
          <w:p w14:paraId="1D12223A"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594" w:type="dxa"/>
            <w:tcBorders>
              <w:top w:val="nil"/>
              <w:left w:val="nil"/>
              <w:bottom w:val="nil"/>
              <w:right w:val="nil"/>
            </w:tcBorders>
            <w:shd w:val="clear" w:color="auto" w:fill="ECECEC"/>
            <w:hideMark/>
          </w:tcPr>
          <w:p w14:paraId="5BB7BAE0"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808" w:type="dxa"/>
            <w:tcBorders>
              <w:top w:val="nil"/>
              <w:left w:val="nil"/>
              <w:bottom w:val="nil"/>
              <w:right w:val="nil"/>
            </w:tcBorders>
            <w:shd w:val="clear" w:color="auto" w:fill="ECECEC"/>
            <w:hideMark/>
          </w:tcPr>
          <w:p w14:paraId="3288F8DF"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≤1</w:t>
            </w:r>
          </w:p>
        </w:tc>
      </w:tr>
      <w:tr w:rsidR="008441E8" w14:paraId="2E43BE74"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single" w:sz="4" w:space="0" w:color="ECECEC"/>
              <w:right w:val="nil"/>
            </w:tcBorders>
            <w:hideMark/>
          </w:tcPr>
          <w:p w14:paraId="2969FA67" w14:textId="77777777" w:rsidR="008441E8" w:rsidRDefault="008441E8" w:rsidP="00666FFC">
            <w:pPr>
              <w:spacing w:before="60" w:after="60"/>
              <w:rPr>
                <w:szCs w:val="20"/>
              </w:rPr>
            </w:pPr>
            <w:r>
              <w:rPr>
                <w:szCs w:val="20"/>
              </w:rPr>
              <w:t>Mercury (mg/kg)</w:t>
            </w:r>
          </w:p>
        </w:tc>
        <w:tc>
          <w:tcPr>
            <w:tcW w:w="1701" w:type="dxa"/>
            <w:tcBorders>
              <w:top w:val="nil"/>
              <w:left w:val="nil"/>
              <w:bottom w:val="single" w:sz="4" w:space="0" w:color="ECECEC"/>
              <w:right w:val="nil"/>
            </w:tcBorders>
            <w:hideMark/>
          </w:tcPr>
          <w:p w14:paraId="61B7F9EA"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&lt;0.05</w:t>
            </w:r>
          </w:p>
        </w:tc>
        <w:tc>
          <w:tcPr>
            <w:tcW w:w="1559" w:type="dxa"/>
            <w:tcBorders>
              <w:top w:val="nil"/>
              <w:left w:val="nil"/>
              <w:bottom w:val="single" w:sz="4" w:space="0" w:color="ECECEC"/>
              <w:right w:val="nil"/>
            </w:tcBorders>
            <w:hideMark/>
          </w:tcPr>
          <w:p w14:paraId="69FB5E32"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594" w:type="dxa"/>
            <w:tcBorders>
              <w:top w:val="nil"/>
              <w:left w:val="nil"/>
              <w:bottom w:val="single" w:sz="4" w:space="0" w:color="ECECEC"/>
              <w:right w:val="nil"/>
            </w:tcBorders>
            <w:hideMark/>
          </w:tcPr>
          <w:p w14:paraId="6B599C59"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808" w:type="dxa"/>
            <w:tcBorders>
              <w:top w:val="nil"/>
              <w:left w:val="nil"/>
              <w:bottom w:val="single" w:sz="4" w:space="0" w:color="ECECEC"/>
              <w:right w:val="nil"/>
            </w:tcBorders>
            <w:hideMark/>
          </w:tcPr>
          <w:p w14:paraId="67CFE9A8"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≤1</w:t>
            </w:r>
          </w:p>
        </w:tc>
      </w:tr>
      <w:tr w:rsidR="008441E8" w14:paraId="6A557787"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shd w:val="clear" w:color="auto" w:fill="ECECEC"/>
            <w:hideMark/>
          </w:tcPr>
          <w:p w14:paraId="77EE3B9C" w14:textId="77777777" w:rsidR="008441E8" w:rsidRDefault="008441E8" w:rsidP="00666FFC">
            <w:pPr>
              <w:spacing w:before="60" w:after="60"/>
              <w:rPr>
                <w:szCs w:val="20"/>
              </w:rPr>
            </w:pPr>
            <w:r>
              <w:rPr>
                <w:szCs w:val="20"/>
              </w:rPr>
              <w:t>Coliforms (CFU/g)</w:t>
            </w:r>
          </w:p>
        </w:tc>
        <w:tc>
          <w:tcPr>
            <w:tcW w:w="1701" w:type="dxa"/>
            <w:tcBorders>
              <w:top w:val="nil"/>
              <w:left w:val="nil"/>
              <w:bottom w:val="nil"/>
              <w:right w:val="nil"/>
            </w:tcBorders>
            <w:shd w:val="clear" w:color="auto" w:fill="ECECEC"/>
            <w:hideMark/>
          </w:tcPr>
          <w:p w14:paraId="0971B6DA"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&lt;4</w:t>
            </w:r>
          </w:p>
        </w:tc>
        <w:tc>
          <w:tcPr>
            <w:tcW w:w="1559" w:type="dxa"/>
            <w:tcBorders>
              <w:top w:val="nil"/>
              <w:left w:val="nil"/>
              <w:bottom w:val="nil"/>
              <w:right w:val="nil"/>
            </w:tcBorders>
            <w:shd w:val="clear" w:color="auto" w:fill="ECECEC"/>
            <w:hideMark/>
          </w:tcPr>
          <w:p w14:paraId="6A808150"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≤30</w:t>
            </w:r>
          </w:p>
        </w:tc>
        <w:tc>
          <w:tcPr>
            <w:tcW w:w="1594" w:type="dxa"/>
            <w:tcBorders>
              <w:top w:val="nil"/>
              <w:left w:val="nil"/>
              <w:bottom w:val="nil"/>
              <w:right w:val="nil"/>
            </w:tcBorders>
            <w:shd w:val="clear" w:color="auto" w:fill="ECECEC"/>
            <w:hideMark/>
          </w:tcPr>
          <w:p w14:paraId="5EEDDC23"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≤30</w:t>
            </w:r>
          </w:p>
        </w:tc>
        <w:tc>
          <w:tcPr>
            <w:tcW w:w="1808" w:type="dxa"/>
            <w:tcBorders>
              <w:top w:val="nil"/>
              <w:left w:val="nil"/>
              <w:bottom w:val="nil"/>
              <w:right w:val="nil"/>
            </w:tcBorders>
            <w:shd w:val="clear" w:color="auto" w:fill="ECECEC"/>
            <w:hideMark/>
          </w:tcPr>
          <w:p w14:paraId="66231124"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r>
      <w:tr w:rsidR="008441E8" w14:paraId="5080DA23"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hideMark/>
          </w:tcPr>
          <w:p w14:paraId="6BD773FF" w14:textId="77777777" w:rsidR="008441E8" w:rsidRDefault="008441E8" w:rsidP="00666FFC">
            <w:pPr>
              <w:spacing w:before="60" w:after="60"/>
              <w:rPr>
                <w:szCs w:val="20"/>
              </w:rPr>
            </w:pPr>
            <w:r>
              <w:rPr>
                <w:i/>
                <w:szCs w:val="20"/>
              </w:rPr>
              <w:t>Salmonella</w:t>
            </w:r>
            <w:r>
              <w:rPr>
                <w:szCs w:val="20"/>
              </w:rPr>
              <w:t xml:space="preserve"> (in 25 g)</w:t>
            </w:r>
          </w:p>
        </w:tc>
        <w:tc>
          <w:tcPr>
            <w:tcW w:w="1701" w:type="dxa"/>
            <w:tcBorders>
              <w:top w:val="nil"/>
              <w:left w:val="nil"/>
              <w:bottom w:val="nil"/>
              <w:right w:val="nil"/>
            </w:tcBorders>
            <w:hideMark/>
          </w:tcPr>
          <w:p w14:paraId="4389E470"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Not detected</w:t>
            </w:r>
          </w:p>
        </w:tc>
        <w:tc>
          <w:tcPr>
            <w:tcW w:w="1559" w:type="dxa"/>
            <w:tcBorders>
              <w:top w:val="nil"/>
              <w:left w:val="nil"/>
              <w:bottom w:val="nil"/>
              <w:right w:val="nil"/>
            </w:tcBorders>
            <w:hideMark/>
          </w:tcPr>
          <w:p w14:paraId="1C0D7E9F"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Absent</w:t>
            </w:r>
          </w:p>
        </w:tc>
        <w:tc>
          <w:tcPr>
            <w:tcW w:w="1594" w:type="dxa"/>
            <w:tcBorders>
              <w:top w:val="nil"/>
              <w:left w:val="nil"/>
              <w:bottom w:val="nil"/>
              <w:right w:val="nil"/>
            </w:tcBorders>
            <w:hideMark/>
          </w:tcPr>
          <w:p w14:paraId="4CBF5CBF"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Negative</w:t>
            </w:r>
          </w:p>
        </w:tc>
        <w:tc>
          <w:tcPr>
            <w:tcW w:w="1808" w:type="dxa"/>
            <w:tcBorders>
              <w:top w:val="nil"/>
              <w:left w:val="nil"/>
              <w:bottom w:val="nil"/>
              <w:right w:val="nil"/>
            </w:tcBorders>
            <w:hideMark/>
          </w:tcPr>
          <w:p w14:paraId="6455F40F"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r>
      <w:tr w:rsidR="008441E8" w14:paraId="12770017"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shd w:val="clear" w:color="auto" w:fill="ECECEC"/>
            <w:hideMark/>
          </w:tcPr>
          <w:p w14:paraId="7A3D3FC3" w14:textId="77777777" w:rsidR="008441E8" w:rsidRDefault="008441E8" w:rsidP="00666FFC">
            <w:pPr>
              <w:spacing w:before="60" w:after="60"/>
              <w:rPr>
                <w:i/>
                <w:szCs w:val="20"/>
              </w:rPr>
            </w:pPr>
            <w:r>
              <w:rPr>
                <w:i/>
                <w:szCs w:val="20"/>
              </w:rPr>
              <w:t xml:space="preserve">E. coli </w:t>
            </w:r>
            <w:r>
              <w:rPr>
                <w:szCs w:val="20"/>
              </w:rPr>
              <w:t>(in 25 g)</w:t>
            </w:r>
          </w:p>
        </w:tc>
        <w:tc>
          <w:tcPr>
            <w:tcW w:w="1701" w:type="dxa"/>
            <w:tcBorders>
              <w:top w:val="nil"/>
              <w:left w:val="nil"/>
              <w:bottom w:val="nil"/>
              <w:right w:val="nil"/>
            </w:tcBorders>
            <w:shd w:val="clear" w:color="auto" w:fill="ECECEC"/>
            <w:hideMark/>
          </w:tcPr>
          <w:p w14:paraId="1AC40DE2"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Not detected</w:t>
            </w:r>
          </w:p>
        </w:tc>
        <w:tc>
          <w:tcPr>
            <w:tcW w:w="1559" w:type="dxa"/>
            <w:tcBorders>
              <w:top w:val="nil"/>
              <w:left w:val="nil"/>
              <w:bottom w:val="nil"/>
              <w:right w:val="nil"/>
            </w:tcBorders>
            <w:shd w:val="clear" w:color="auto" w:fill="ECECEC"/>
            <w:hideMark/>
          </w:tcPr>
          <w:p w14:paraId="6E555C42"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Absent</w:t>
            </w:r>
          </w:p>
        </w:tc>
        <w:tc>
          <w:tcPr>
            <w:tcW w:w="1594" w:type="dxa"/>
            <w:tcBorders>
              <w:top w:val="nil"/>
              <w:left w:val="nil"/>
              <w:bottom w:val="nil"/>
              <w:right w:val="nil"/>
            </w:tcBorders>
            <w:shd w:val="clear" w:color="auto" w:fill="ECECEC"/>
            <w:hideMark/>
          </w:tcPr>
          <w:p w14:paraId="5BC142EA"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808" w:type="dxa"/>
            <w:tcBorders>
              <w:top w:val="nil"/>
              <w:left w:val="nil"/>
              <w:bottom w:val="nil"/>
              <w:right w:val="nil"/>
            </w:tcBorders>
            <w:shd w:val="clear" w:color="auto" w:fill="ECECEC"/>
            <w:hideMark/>
          </w:tcPr>
          <w:p w14:paraId="2030FD6D"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r>
      <w:tr w:rsidR="008441E8" w14:paraId="6E2D38CC" w14:textId="77777777" w:rsidTr="008441E8">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shd w:val="clear" w:color="auto" w:fill="ECECEC"/>
            <w:vAlign w:val="center"/>
          </w:tcPr>
          <w:p w14:paraId="7A4B1C63" w14:textId="77777777" w:rsidR="008441E8" w:rsidRDefault="008441E8" w:rsidP="00666FFC">
            <w:pPr>
              <w:spacing w:before="60" w:after="60"/>
              <w:rPr>
                <w:i/>
                <w:szCs w:val="20"/>
              </w:rPr>
            </w:pPr>
            <w:r>
              <w:rPr>
                <w:szCs w:val="20"/>
              </w:rPr>
              <w:t xml:space="preserve">Antibiotic activity </w:t>
            </w:r>
          </w:p>
        </w:tc>
        <w:tc>
          <w:tcPr>
            <w:tcW w:w="1701" w:type="dxa"/>
            <w:tcBorders>
              <w:top w:val="nil"/>
              <w:left w:val="nil"/>
              <w:bottom w:val="nil"/>
              <w:right w:val="nil"/>
            </w:tcBorders>
            <w:shd w:val="clear" w:color="auto" w:fill="ECECEC"/>
            <w:vAlign w:val="center"/>
          </w:tcPr>
          <w:p w14:paraId="2E8CFE59"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Not detected</w:t>
            </w:r>
          </w:p>
        </w:tc>
        <w:tc>
          <w:tcPr>
            <w:tcW w:w="1559" w:type="dxa"/>
            <w:tcBorders>
              <w:top w:val="nil"/>
              <w:left w:val="nil"/>
              <w:bottom w:val="nil"/>
              <w:right w:val="nil"/>
            </w:tcBorders>
            <w:shd w:val="clear" w:color="auto" w:fill="ECECEC"/>
            <w:vAlign w:val="center"/>
          </w:tcPr>
          <w:p w14:paraId="720663E3"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Absent</w:t>
            </w:r>
          </w:p>
        </w:tc>
        <w:tc>
          <w:tcPr>
            <w:tcW w:w="1594" w:type="dxa"/>
            <w:tcBorders>
              <w:top w:val="nil"/>
              <w:left w:val="nil"/>
              <w:bottom w:val="nil"/>
              <w:right w:val="nil"/>
            </w:tcBorders>
            <w:shd w:val="clear" w:color="auto" w:fill="ECECEC"/>
            <w:vAlign w:val="center"/>
          </w:tcPr>
          <w:p w14:paraId="7A32E735"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1808" w:type="dxa"/>
            <w:tcBorders>
              <w:top w:val="nil"/>
              <w:left w:val="nil"/>
              <w:bottom w:val="nil"/>
              <w:right w:val="nil"/>
            </w:tcBorders>
            <w:shd w:val="clear" w:color="auto" w:fill="ECECEC"/>
            <w:vAlign w:val="center"/>
          </w:tcPr>
          <w:p w14:paraId="0DDCE441" w14:textId="77777777" w:rsidR="008441E8" w:rsidRDefault="008441E8" w:rsidP="00666FFC">
            <w:pPr>
              <w:spacing w:before="60" w:after="60"/>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r>
    </w:tbl>
    <w:p w14:paraId="57E8EA3C" w14:textId="08987149" w:rsidR="008441E8" w:rsidRDefault="008441E8" w:rsidP="008441E8">
      <w:pPr>
        <w:autoSpaceDE w:val="0"/>
        <w:autoSpaceDN w:val="0"/>
        <w:adjustRightInd w:val="0"/>
        <w:rPr>
          <w:lang w:eastAsia="en-AU"/>
        </w:rPr>
      </w:pPr>
      <w:r w:rsidRPr="00E266D6">
        <w:rPr>
          <w:lang w:eastAsia="en-AU"/>
        </w:rPr>
        <w:t xml:space="preserve">Whilst </w:t>
      </w:r>
      <w:r>
        <w:rPr>
          <w:lang w:eastAsia="en-AU"/>
        </w:rPr>
        <w:t>t</w:t>
      </w:r>
      <w:r w:rsidRPr="00E266D6">
        <w:rPr>
          <w:lang w:eastAsia="en-AU"/>
        </w:rPr>
        <w:t xml:space="preserve">he manufacturing processes ensure the production microorganism is removed from the final enzyme preparation, the food enzyme is a biological isolate of variable composition, containing the enzyme protein, as well as organic and inorganic material derived from the microorganism and fermentation process. </w:t>
      </w:r>
      <w:r>
        <w:rPr>
          <w:lang w:eastAsia="en-AU"/>
        </w:rPr>
        <w:t xml:space="preserve">Refer to </w:t>
      </w:r>
      <w:r w:rsidRPr="002A63DB">
        <w:rPr>
          <w:lang w:eastAsia="en-AU"/>
        </w:rPr>
        <w:t>section 3.4</w:t>
      </w:r>
      <w:r>
        <w:rPr>
          <w:lang w:eastAsia="en-AU"/>
        </w:rPr>
        <w:t xml:space="preserve"> below for the total organic solids (TOS) value.</w:t>
      </w:r>
      <w:r w:rsidRPr="00E266D6">
        <w:rPr>
          <w:lang w:eastAsia="en-AU"/>
        </w:rPr>
        <w:t xml:space="preserve"> </w:t>
      </w:r>
    </w:p>
    <w:p w14:paraId="76F4E734" w14:textId="77777777" w:rsidR="004A4E7A" w:rsidRPr="001D1FB4" w:rsidRDefault="004A4E7A" w:rsidP="004A4E7A">
      <w:pPr>
        <w:keepNext/>
        <w:tabs>
          <w:tab w:val="left" w:pos="851"/>
        </w:tabs>
        <w:spacing w:before="240" w:after="240"/>
        <w:outlineLvl w:val="1"/>
        <w:rPr>
          <w:rFonts w:cs="Arial"/>
          <w:b/>
          <w:bCs/>
          <w:sz w:val="28"/>
          <w:szCs w:val="22"/>
          <w:lang w:bidi="ar-SA"/>
        </w:rPr>
      </w:pPr>
      <w:bookmarkStart w:id="58" w:name="_Toc99464552"/>
      <w:bookmarkStart w:id="59" w:name="_Toc99458049"/>
      <w:bookmarkStart w:id="60" w:name="_Toc100130608"/>
      <w:bookmarkStart w:id="61" w:name="_Toc107222998"/>
      <w:r w:rsidRPr="004A4E7A">
        <w:rPr>
          <w:rFonts w:cs="Arial"/>
          <w:b/>
          <w:bCs/>
          <w:sz w:val="28"/>
          <w:szCs w:val="22"/>
          <w:lang w:bidi="ar-SA"/>
        </w:rPr>
        <w:t>2.3</w:t>
      </w:r>
      <w:r w:rsidRPr="004A4E7A">
        <w:rPr>
          <w:rFonts w:cs="Arial"/>
          <w:b/>
          <w:bCs/>
          <w:sz w:val="28"/>
          <w:szCs w:val="22"/>
          <w:lang w:bidi="ar-SA"/>
        </w:rPr>
        <w:tab/>
        <w:t>Technological purpose of the enzyme</w:t>
      </w:r>
      <w:bookmarkEnd w:id="58"/>
      <w:bookmarkEnd w:id="59"/>
      <w:bookmarkEnd w:id="60"/>
      <w:bookmarkEnd w:id="61"/>
    </w:p>
    <w:p w14:paraId="37B56613" w14:textId="3B9A3B2F" w:rsidR="00445DF1" w:rsidRPr="00162345" w:rsidRDefault="00F20B06" w:rsidP="00FC7671">
      <w:pPr>
        <w:widowControl w:val="0"/>
        <w:rPr>
          <w:color w:val="8064A2" w:themeColor="accent4"/>
        </w:rPr>
      </w:pPr>
      <w:r>
        <w:rPr>
          <w:lang w:eastAsia="en-AU" w:bidi="ar-SA"/>
        </w:rPr>
        <w:t>Novozymes’</w:t>
      </w:r>
      <w:r w:rsidR="004A4E7A">
        <w:rPr>
          <w:lang w:eastAsia="en-AU" w:bidi="ar-SA"/>
        </w:rPr>
        <w:t xml:space="preserve"> phospholipase A</w:t>
      </w:r>
      <w:r w:rsidR="004A4E7A" w:rsidRPr="00A2763F">
        <w:rPr>
          <w:lang w:eastAsia="en-AU" w:bidi="ar-SA"/>
        </w:rPr>
        <w:t>1</w:t>
      </w:r>
      <w:r w:rsidR="004A4E7A">
        <w:rPr>
          <w:lang w:eastAsia="en-AU" w:bidi="ar-SA"/>
        </w:rPr>
        <w:t xml:space="preserve"> </w:t>
      </w:r>
      <w:r w:rsidR="004A4E7A">
        <w:rPr>
          <w:szCs w:val="22"/>
        </w:rPr>
        <w:t xml:space="preserve">is intended for use as a processing aid in the </w:t>
      </w:r>
      <w:r w:rsidR="00821733" w:rsidRPr="00821733">
        <w:rPr>
          <w:szCs w:val="22"/>
        </w:rPr>
        <w:t>degumming of vegetable oils</w:t>
      </w:r>
      <w:r w:rsidR="007E7540">
        <w:rPr>
          <w:szCs w:val="22"/>
        </w:rPr>
        <w:t xml:space="preserve">. </w:t>
      </w:r>
      <w:r w:rsidR="00445DF1">
        <w:rPr>
          <w:szCs w:val="22"/>
        </w:rPr>
        <w:t xml:space="preserve"> </w:t>
      </w:r>
    </w:p>
    <w:p w14:paraId="129DAA9C" w14:textId="6CC106BC" w:rsidR="004A4E7A" w:rsidRDefault="004A4E7A" w:rsidP="001D30E7">
      <w:pPr>
        <w:autoSpaceDE w:val="0"/>
        <w:autoSpaceDN w:val="0"/>
        <w:adjustRightInd w:val="0"/>
        <w:rPr>
          <w:lang w:eastAsia="en-AU" w:bidi="ar-SA"/>
        </w:rPr>
      </w:pPr>
      <w:r>
        <w:rPr>
          <w:lang w:eastAsia="en-AU" w:bidi="ar-SA"/>
        </w:rPr>
        <w:t>Vegetable oils can be produced from parts of many different plants, including sunflower, canola, peanut, and coconut. After extraction, all contain a variety of unwanted components that affect taste, appearance, and quality. Before these impurities can be removed by various refining techniques, the oil must be degummed to remove phosphatides, which affect storage stability.</w:t>
      </w:r>
    </w:p>
    <w:p w14:paraId="45A6EA74" w14:textId="44C78955" w:rsidR="004A4E7A" w:rsidRDefault="004A4E7A" w:rsidP="004A4E7A">
      <w:pPr>
        <w:autoSpaceDE w:val="0"/>
        <w:autoSpaceDN w:val="0"/>
        <w:adjustRightInd w:val="0"/>
        <w:rPr>
          <w:highlight w:val="yellow"/>
        </w:rPr>
      </w:pPr>
      <w:r>
        <w:rPr>
          <w:lang w:eastAsia="en-AU" w:bidi="ar-SA"/>
        </w:rPr>
        <w:t>Phospholipase A1 belongs to the phospholipase class of enzymes, specifically the acyl hydrolases. Acyl hydrolases catalyse hydrolysis, esterification, and transesterification in phospholipids to remove and replace the acyl chain. Specifically, phospholipase A</w:t>
      </w:r>
      <w:r w:rsidRPr="00A2763F">
        <w:rPr>
          <w:lang w:eastAsia="en-AU" w:bidi="ar-SA"/>
        </w:rPr>
        <w:t>1</w:t>
      </w:r>
      <w:r>
        <w:rPr>
          <w:lang w:eastAsia="en-AU" w:bidi="ar-SA"/>
        </w:rPr>
        <w:t xml:space="preserve"> hydrolyses ester bonds in the sn-1 position of phospholipids including phosphatides. This releases lysophospholipids, such as lysophosphatides, and free fatty acids. The lysophosphatides released </w:t>
      </w:r>
      <w:r w:rsidR="00284960">
        <w:rPr>
          <w:lang w:eastAsia="en-AU" w:bidi="ar-SA"/>
        </w:rPr>
        <w:t xml:space="preserve">form a hydrated gum, which is </w:t>
      </w:r>
      <w:r>
        <w:rPr>
          <w:lang w:eastAsia="en-AU" w:bidi="ar-SA"/>
        </w:rPr>
        <w:t>not soluble in oil</w:t>
      </w:r>
      <w:r w:rsidR="00284960">
        <w:rPr>
          <w:lang w:eastAsia="en-AU" w:bidi="ar-SA"/>
        </w:rPr>
        <w:t>. The gum</w:t>
      </w:r>
      <w:r>
        <w:rPr>
          <w:lang w:eastAsia="en-AU" w:bidi="ar-SA"/>
        </w:rPr>
        <w:t xml:space="preserve"> can subsequently be removed by physical separation methods.</w:t>
      </w:r>
      <w:r w:rsidR="00445589">
        <w:rPr>
          <w:lang w:eastAsia="en-AU" w:bidi="ar-SA"/>
        </w:rPr>
        <w:t xml:space="preserve"> This process is known as ‘degumming’. </w:t>
      </w:r>
    </w:p>
    <w:p w14:paraId="2F7D3E6E" w14:textId="77777777" w:rsidR="004A4E7A" w:rsidRPr="00DF564D" w:rsidRDefault="004A4E7A" w:rsidP="004A4E7A">
      <w:r w:rsidRPr="005E5797">
        <w:t xml:space="preserve">The stated technological purpose of the </w:t>
      </w:r>
      <w:r w:rsidRPr="005E5797">
        <w:rPr>
          <w:lang w:eastAsia="en-AU" w:bidi="ar-SA"/>
        </w:rPr>
        <w:t xml:space="preserve">phospholipase A1 </w:t>
      </w:r>
      <w:r w:rsidRPr="005E5797">
        <w:t>enzyme is supported by scientific literature (e.g.</w:t>
      </w:r>
      <w:r w:rsidRPr="005E5797">
        <w:rPr>
          <w:szCs w:val="22"/>
        </w:rPr>
        <w:t xml:space="preserve"> Casado et al 2012, Lamas et al 2014</w:t>
      </w:r>
      <w:r w:rsidRPr="005E5797">
        <w:t>).</w:t>
      </w:r>
    </w:p>
    <w:p w14:paraId="72D0D714" w14:textId="77777777" w:rsidR="004A4E7A" w:rsidRDefault="004A4E7A" w:rsidP="004A4E7A">
      <w:pPr>
        <w:rPr>
          <w:lang w:eastAsia="en-AU" w:bidi="ar-SA"/>
        </w:rPr>
      </w:pPr>
      <w:r>
        <w:rPr>
          <w:lang w:eastAsia="en-AU" w:bidi="ar-SA"/>
        </w:rPr>
        <w:lastRenderedPageBreak/>
        <w:t>The applicant provided information on the physical and chemical properties of the enzyme preparation. Table 3 summarises this information.</w:t>
      </w:r>
    </w:p>
    <w:p w14:paraId="50D8014B" w14:textId="2E8700F5" w:rsidR="004A4E7A" w:rsidRDefault="004A4E7A" w:rsidP="004A4E7A">
      <w:pPr>
        <w:pStyle w:val="FSTableTitle"/>
        <w:keepNext/>
        <w:keepLines/>
        <w:spacing w:after="240"/>
        <w:ind w:left="1134" w:hanging="1134"/>
        <w:rPr>
          <w:b w:val="0"/>
          <w:i/>
          <w:sz w:val="24"/>
        </w:rPr>
      </w:pPr>
      <w:r>
        <w:rPr>
          <w:i/>
        </w:rPr>
        <w:t>Table 3</w:t>
      </w:r>
      <w:r>
        <w:rPr>
          <w:i/>
          <w:szCs w:val="20"/>
        </w:rPr>
        <w:tab/>
      </w:r>
      <w:r>
        <w:rPr>
          <w:b w:val="0"/>
          <w:i/>
        </w:rPr>
        <w:t xml:space="preserve">Physical and chemical properties of </w:t>
      </w:r>
      <w:r w:rsidR="00574197" w:rsidRPr="002F785A">
        <w:rPr>
          <w:b w:val="0"/>
          <w:i/>
        </w:rPr>
        <w:t>Novozymes’</w:t>
      </w:r>
      <w:r w:rsidR="00574197">
        <w:rPr>
          <w:b w:val="0"/>
          <w:i/>
        </w:rPr>
        <w:t xml:space="preserve"> </w:t>
      </w:r>
      <w:r w:rsidRPr="00415882">
        <w:rPr>
          <w:b w:val="0"/>
          <w:i/>
        </w:rPr>
        <w:t>phospholipase A</w:t>
      </w:r>
      <w:r w:rsidRPr="00A2763F">
        <w:rPr>
          <w:b w:val="0"/>
          <w:i/>
        </w:rPr>
        <w:t>1</w:t>
      </w:r>
      <w:r w:rsidRPr="00415882">
        <w:rPr>
          <w:b w:val="0"/>
          <w:i/>
        </w:rPr>
        <w:t xml:space="preserve"> </w:t>
      </w:r>
      <w:r>
        <w:rPr>
          <w:b w:val="0"/>
          <w:i/>
        </w:rPr>
        <w:t>enzyme preparation</w:t>
      </w:r>
    </w:p>
    <w:tbl>
      <w:tblPr>
        <w:tblStyle w:val="Table"/>
        <w:tblW w:w="9498" w:type="dxa"/>
        <w:tblLayout w:type="fixed"/>
        <w:tblLook w:val="04A0" w:firstRow="1" w:lastRow="0" w:firstColumn="1" w:lastColumn="0" w:noHBand="0" w:noVBand="1"/>
        <w:tblCaption w:val="Alpha-amylase enzyme preparation physical/chemical properties"/>
      </w:tblPr>
      <w:tblGrid>
        <w:gridCol w:w="2943"/>
        <w:gridCol w:w="6555"/>
      </w:tblGrid>
      <w:tr w:rsidR="004A4E7A" w14:paraId="362BD1B4" w14:textId="77777777" w:rsidTr="00666FFC">
        <w:trPr>
          <w:cnfStyle w:val="100000000000" w:firstRow="1" w:lastRow="0" w:firstColumn="0" w:lastColumn="0" w:oddVBand="0" w:evenVBand="0" w:oddHBand="0" w:evenHBand="0" w:firstRowFirstColumn="0" w:firstRowLastColumn="0" w:lastRowFirstColumn="0" w:lastRowLastColumn="0"/>
          <w:trHeight w:val="108"/>
        </w:trPr>
        <w:tc>
          <w:tcPr>
            <w:tcW w:w="9498" w:type="dxa"/>
            <w:gridSpan w:val="2"/>
            <w:tcBorders>
              <w:top w:val="nil"/>
              <w:left w:val="nil"/>
              <w:bottom w:val="nil"/>
              <w:right w:val="nil"/>
            </w:tcBorders>
            <w:shd w:val="clear" w:color="auto" w:fill="7F7F7F" w:themeFill="text1" w:themeFillTint="80"/>
            <w:hideMark/>
          </w:tcPr>
          <w:p w14:paraId="09B66ACC" w14:textId="77777777" w:rsidR="004A4E7A" w:rsidRDefault="004A4E7A" w:rsidP="00666FFC">
            <w:pPr>
              <w:jc w:val="center"/>
              <w:rPr>
                <w:b w:val="0"/>
                <w:highlight w:val="yellow"/>
                <w:lang w:eastAsia="en-GB"/>
              </w:rPr>
            </w:pPr>
            <w:r>
              <w:rPr>
                <w:b w:val="0"/>
                <w:lang w:eastAsia="en-GB"/>
              </w:rPr>
              <w:t>Physical and chemical properties of commercial enzyme preparation</w:t>
            </w:r>
          </w:p>
        </w:tc>
      </w:tr>
      <w:tr w:rsidR="004A4E7A" w14:paraId="5ED59CE7" w14:textId="77777777" w:rsidTr="00666FFC">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4A18A5B4" w14:textId="77777777" w:rsidR="004A4E7A" w:rsidRDefault="004A4E7A" w:rsidP="00666FFC">
            <w:pPr>
              <w:autoSpaceDE w:val="0"/>
              <w:autoSpaceDN w:val="0"/>
              <w:adjustRightInd w:val="0"/>
              <w:rPr>
                <w:rFonts w:cs="Arial"/>
                <w:szCs w:val="20"/>
              </w:rPr>
            </w:pPr>
            <w:r>
              <w:rPr>
                <w:rFonts w:cs="Arial"/>
                <w:szCs w:val="20"/>
              </w:rPr>
              <w:t>Enzyme activity</w:t>
            </w:r>
          </w:p>
        </w:tc>
        <w:tc>
          <w:tcPr>
            <w:tcW w:w="6555" w:type="dxa"/>
            <w:tcBorders>
              <w:top w:val="nil"/>
              <w:left w:val="nil"/>
              <w:bottom w:val="nil"/>
              <w:right w:val="nil"/>
            </w:tcBorders>
            <w:hideMark/>
          </w:tcPr>
          <w:p w14:paraId="2E99D6E3" w14:textId="77777777" w:rsidR="004A4E7A" w:rsidRDefault="004A4E7A" w:rsidP="00666FFC">
            <w:pPr>
              <w:autoSpaceDE w:val="0"/>
              <w:autoSpaceDN w:val="0"/>
              <w:adjustRightInd w:val="0"/>
              <w:rPr>
                <w:rFonts w:cs="Arial"/>
                <w:szCs w:val="20"/>
              </w:rPr>
            </w:pPr>
            <w:r>
              <w:rPr>
                <w:rFonts w:cs="Arial"/>
                <w:szCs w:val="20"/>
              </w:rPr>
              <w:t>75 PLA-L/g</w:t>
            </w:r>
          </w:p>
        </w:tc>
      </w:tr>
      <w:tr w:rsidR="004A4E7A" w14:paraId="2922BABF" w14:textId="77777777" w:rsidTr="00666FFC">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43F12CF9" w14:textId="77777777" w:rsidR="004A4E7A" w:rsidRDefault="004A4E7A" w:rsidP="00666FFC">
            <w:pPr>
              <w:autoSpaceDE w:val="0"/>
              <w:autoSpaceDN w:val="0"/>
              <w:adjustRightInd w:val="0"/>
              <w:rPr>
                <w:rFonts w:cs="Arial"/>
                <w:szCs w:val="20"/>
              </w:rPr>
            </w:pPr>
            <w:r>
              <w:rPr>
                <w:rFonts w:cs="Arial"/>
                <w:szCs w:val="20"/>
              </w:rPr>
              <w:t>Appearance</w:t>
            </w:r>
          </w:p>
        </w:tc>
        <w:tc>
          <w:tcPr>
            <w:tcW w:w="6555" w:type="dxa"/>
            <w:tcBorders>
              <w:top w:val="nil"/>
              <w:left w:val="nil"/>
              <w:bottom w:val="nil"/>
              <w:right w:val="nil"/>
            </w:tcBorders>
            <w:hideMark/>
          </w:tcPr>
          <w:p w14:paraId="16572B3F" w14:textId="77777777" w:rsidR="004A4E7A" w:rsidRDefault="004A4E7A" w:rsidP="00666FFC">
            <w:pPr>
              <w:autoSpaceDE w:val="0"/>
              <w:autoSpaceDN w:val="0"/>
              <w:adjustRightInd w:val="0"/>
              <w:rPr>
                <w:rFonts w:cs="Arial"/>
                <w:szCs w:val="20"/>
              </w:rPr>
            </w:pPr>
            <w:r>
              <w:rPr>
                <w:rFonts w:cs="Arial"/>
                <w:szCs w:val="20"/>
              </w:rPr>
              <w:t>Colourless to yellow liquid</w:t>
            </w:r>
          </w:p>
        </w:tc>
      </w:tr>
      <w:tr w:rsidR="004A4E7A" w14:paraId="32DAAD19" w14:textId="77777777" w:rsidTr="00666FFC">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34630755" w14:textId="02F0D83C" w:rsidR="004A4E7A" w:rsidRDefault="004A4E7A" w:rsidP="00666FFC">
            <w:pPr>
              <w:autoSpaceDE w:val="0"/>
              <w:autoSpaceDN w:val="0"/>
              <w:adjustRightInd w:val="0"/>
              <w:rPr>
                <w:rFonts w:cs="Arial"/>
              </w:rPr>
            </w:pPr>
            <w:r w:rsidRPr="104F1F70">
              <w:rPr>
                <w:rFonts w:cs="Arial"/>
              </w:rPr>
              <w:t>Recommended storage temperature range</w:t>
            </w:r>
          </w:p>
        </w:tc>
        <w:tc>
          <w:tcPr>
            <w:tcW w:w="6555" w:type="dxa"/>
            <w:tcBorders>
              <w:top w:val="nil"/>
              <w:left w:val="nil"/>
              <w:bottom w:val="nil"/>
              <w:right w:val="nil"/>
            </w:tcBorders>
            <w:hideMark/>
          </w:tcPr>
          <w:p w14:paraId="561D0877" w14:textId="77777777" w:rsidR="004A4E7A" w:rsidRDefault="004A4E7A" w:rsidP="00666FFC">
            <w:pPr>
              <w:autoSpaceDE w:val="0"/>
              <w:autoSpaceDN w:val="0"/>
              <w:adjustRightInd w:val="0"/>
              <w:rPr>
                <w:rFonts w:cs="Arial"/>
                <w:szCs w:val="20"/>
              </w:rPr>
            </w:pPr>
            <w:r>
              <w:rPr>
                <w:rFonts w:cs="Arial"/>
                <w:szCs w:val="20"/>
              </w:rPr>
              <w:t>0–25°C</w:t>
            </w:r>
          </w:p>
        </w:tc>
      </w:tr>
      <w:tr w:rsidR="004A4E7A" w14:paraId="6C191669" w14:textId="77777777" w:rsidTr="00666FFC">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single" w:sz="4" w:space="0" w:color="F3F3F3"/>
              <w:right w:val="nil"/>
            </w:tcBorders>
          </w:tcPr>
          <w:p w14:paraId="4F8938E1" w14:textId="77777777" w:rsidR="004A4E7A" w:rsidRDefault="004A4E7A" w:rsidP="00666FFC">
            <w:pPr>
              <w:autoSpaceDE w:val="0"/>
              <w:autoSpaceDN w:val="0"/>
              <w:adjustRightInd w:val="0"/>
              <w:rPr>
                <w:rFonts w:cs="Arial"/>
                <w:szCs w:val="20"/>
              </w:rPr>
            </w:pPr>
            <w:r>
              <w:rPr>
                <w:rFonts w:cs="Arial"/>
                <w:szCs w:val="20"/>
              </w:rPr>
              <w:t>Density</w:t>
            </w:r>
          </w:p>
        </w:tc>
        <w:tc>
          <w:tcPr>
            <w:tcW w:w="6555" w:type="dxa"/>
            <w:tcBorders>
              <w:top w:val="nil"/>
              <w:left w:val="nil"/>
              <w:bottom w:val="single" w:sz="4" w:space="0" w:color="F3F3F3"/>
              <w:right w:val="nil"/>
            </w:tcBorders>
          </w:tcPr>
          <w:p w14:paraId="5E57DF29" w14:textId="77777777" w:rsidR="004A4E7A" w:rsidRDefault="004A4E7A" w:rsidP="00666FFC">
            <w:pPr>
              <w:autoSpaceDE w:val="0"/>
              <w:autoSpaceDN w:val="0"/>
              <w:adjustRightInd w:val="0"/>
              <w:rPr>
                <w:rFonts w:cs="Arial"/>
                <w:szCs w:val="20"/>
              </w:rPr>
            </w:pPr>
            <w:r>
              <w:rPr>
                <w:rFonts w:cs="Arial"/>
                <w:szCs w:val="20"/>
              </w:rPr>
              <w:t>1.17 g/mL</w:t>
            </w:r>
          </w:p>
        </w:tc>
      </w:tr>
    </w:tbl>
    <w:p w14:paraId="69D7B650" w14:textId="77777777" w:rsidR="0047150C" w:rsidRPr="00E91842" w:rsidRDefault="0047150C" w:rsidP="0047150C">
      <w:pPr>
        <w:pStyle w:val="FSCaption"/>
        <w:keepNext w:val="0"/>
      </w:pPr>
      <w:r w:rsidRPr="00E91842">
        <w:t>PLA-L/g:</w:t>
      </w:r>
      <w:r>
        <w:t xml:space="preserve"> phospholipase A1 units per gram</w:t>
      </w:r>
    </w:p>
    <w:p w14:paraId="137A034A" w14:textId="60CB770B" w:rsidR="0047150C" w:rsidRDefault="0047150C" w:rsidP="0047150C">
      <w:pPr>
        <w:rPr>
          <w:lang w:eastAsia="en-AU" w:bidi="ar-SA"/>
        </w:rPr>
      </w:pPr>
      <w:r w:rsidRPr="104F1F70">
        <w:rPr>
          <w:rStyle w:val="normaltextrun"/>
          <w:rFonts w:cs="Arial"/>
          <w:color w:val="000000"/>
          <w:shd w:val="clear" w:color="auto" w:fill="FFFFFF"/>
        </w:rPr>
        <w:t xml:space="preserve">The enzyme preparation is available as a liquid concentrate, standardised in phospholipase A1 units (PLA-L) to </w:t>
      </w:r>
      <w:r w:rsidRPr="104F1F70">
        <w:rPr>
          <w:rFonts w:cs="Arial"/>
        </w:rPr>
        <w:t>75 PLA-L/g</w:t>
      </w:r>
      <w:r w:rsidRPr="104F1F70">
        <w:rPr>
          <w:rStyle w:val="normaltextrun"/>
          <w:rFonts w:cs="Arial"/>
          <w:color w:val="000000"/>
          <w:shd w:val="clear" w:color="auto" w:fill="FFFFFF"/>
        </w:rPr>
        <w:t xml:space="preserve">. The application includes a description of Novozymes’ method used to determine phospholipase A1 activity. In summary, phospholipase A1 is used to hydrolyse the ester bond in para-nitrophenyl (pNP)-palmitate. The pNP released can be detected using spectrophotometry. The increase in absorbance at 340 nm correlates to the amount of product formed, which is proportional to the enzyme activity. The highest </w:t>
      </w:r>
      <w:r w:rsidR="00AB4367">
        <w:rPr>
          <w:rStyle w:val="normaltextrun"/>
          <w:rFonts w:cs="Arial"/>
          <w:color w:val="000000"/>
          <w:shd w:val="clear" w:color="auto" w:fill="FFFFFF"/>
        </w:rPr>
        <w:t>level</w:t>
      </w:r>
      <w:r w:rsidR="00AB4367" w:rsidRPr="104F1F70">
        <w:rPr>
          <w:rStyle w:val="normaltextrun"/>
          <w:rFonts w:cs="Arial"/>
          <w:color w:val="000000"/>
          <w:shd w:val="clear" w:color="auto" w:fill="FFFFFF"/>
        </w:rPr>
        <w:t xml:space="preserve"> </w:t>
      </w:r>
      <w:r w:rsidRPr="104F1F70">
        <w:rPr>
          <w:rStyle w:val="normaltextrun"/>
          <w:rFonts w:cs="Arial"/>
          <w:color w:val="000000"/>
          <w:shd w:val="clear" w:color="auto" w:fill="FFFFFF"/>
        </w:rPr>
        <w:t>used in food manufacturing is 5 PLA-L per kilogram of oil.</w:t>
      </w:r>
    </w:p>
    <w:p w14:paraId="00591128" w14:textId="710A4E08" w:rsidR="007E7540" w:rsidRDefault="007E7540" w:rsidP="0047150C">
      <w:pPr>
        <w:rPr>
          <w:lang w:eastAsia="en-AU" w:bidi="ar-SA"/>
        </w:rPr>
      </w:pPr>
      <w:r w:rsidRPr="007E7540">
        <w:t>The</w:t>
      </w:r>
      <w:r w:rsidRPr="007E7540">
        <w:rPr>
          <w:lang w:bidi="ar-SA"/>
        </w:rPr>
        <w:t xml:space="preserve"> Codex guideline, </w:t>
      </w:r>
      <w:r w:rsidRPr="007E7540">
        <w:rPr>
          <w:i/>
          <w:iCs/>
          <w:lang w:bidi="ar-SA"/>
        </w:rPr>
        <w:t>Guidelines on Substances used as Processing Aids</w:t>
      </w:r>
      <w:r w:rsidRPr="007E7540">
        <w:rPr>
          <w:lang w:bidi="ar-SA"/>
        </w:rPr>
        <w:t xml:space="preserve"> (CAC/GL 75-2010) sets out general principles for the safe use of substances used as processing aids. The Guideline states that substances used as processing aids shall be used under conditions of </w:t>
      </w:r>
      <w:r w:rsidRPr="007E7540">
        <w:t>good manufacturing practice (</w:t>
      </w:r>
      <w:r w:rsidRPr="007E7540">
        <w:rPr>
          <w:lang w:bidi="ar-SA"/>
        </w:rPr>
        <w:t>GMP). Therefore, u</w:t>
      </w:r>
      <w:r w:rsidRPr="007E7540">
        <w:t>se of commercial enzyme preparations should follow GMP, where use is at a level that is not higher than that necessary to achieve the desired enzymatic reaction. The applicant requested use of the enzyme at GMP levels.</w:t>
      </w:r>
    </w:p>
    <w:p w14:paraId="2236B34F" w14:textId="33D361CA" w:rsidR="000D6B6A" w:rsidRPr="001D1FB4" w:rsidRDefault="000D6B6A" w:rsidP="000D6B6A">
      <w:pPr>
        <w:keepNext/>
        <w:tabs>
          <w:tab w:val="left" w:pos="851"/>
        </w:tabs>
        <w:spacing w:before="240" w:after="240"/>
        <w:outlineLvl w:val="1"/>
        <w:rPr>
          <w:rFonts w:cs="Arial"/>
          <w:b/>
          <w:bCs/>
          <w:sz w:val="28"/>
          <w:szCs w:val="22"/>
          <w:lang w:bidi="ar-SA"/>
        </w:rPr>
      </w:pPr>
      <w:bookmarkStart w:id="62" w:name="_Toc99464553"/>
      <w:bookmarkStart w:id="63" w:name="_Toc99458050"/>
      <w:bookmarkStart w:id="64" w:name="_Toc100130609"/>
      <w:bookmarkStart w:id="65" w:name="_Toc107222999"/>
      <w:r w:rsidRPr="000D6B6A">
        <w:rPr>
          <w:rFonts w:cs="Arial"/>
          <w:b/>
          <w:bCs/>
          <w:sz w:val="28"/>
          <w:szCs w:val="22"/>
          <w:lang w:bidi="ar-SA"/>
        </w:rPr>
        <w:t>2.4</w:t>
      </w:r>
      <w:r w:rsidRPr="000D6B6A">
        <w:rPr>
          <w:rFonts w:cs="Arial"/>
          <w:b/>
          <w:bCs/>
          <w:sz w:val="28"/>
          <w:szCs w:val="22"/>
          <w:lang w:bidi="ar-SA"/>
        </w:rPr>
        <w:tab/>
        <w:t>Technological justification</w:t>
      </w:r>
      <w:bookmarkEnd w:id="62"/>
      <w:bookmarkEnd w:id="63"/>
      <w:bookmarkEnd w:id="64"/>
      <w:bookmarkEnd w:id="65"/>
    </w:p>
    <w:p w14:paraId="27899765" w14:textId="5C8AB242" w:rsidR="000D6B6A" w:rsidRPr="005E5797" w:rsidRDefault="000D6B6A" w:rsidP="000D6B6A">
      <w:r w:rsidRPr="005E5797">
        <w:rPr>
          <w:lang w:eastAsia="en-AU" w:bidi="ar-SA"/>
        </w:rPr>
        <w:t xml:space="preserve">As outlined above, </w:t>
      </w:r>
      <w:r w:rsidRPr="005E5797">
        <w:t xml:space="preserve">the technological purpose of </w:t>
      </w:r>
      <w:r w:rsidRPr="005E5797">
        <w:rPr>
          <w:lang w:eastAsia="en-AU" w:bidi="ar-SA"/>
        </w:rPr>
        <w:t xml:space="preserve">phospholipase A1 </w:t>
      </w:r>
      <w:r w:rsidRPr="005E5797">
        <w:rPr>
          <w:rFonts w:cs="Arial"/>
        </w:rPr>
        <w:t>is the conversion of phosphatides in vegetable oil to a hydrated gum that can be easily removed before further refining. Removing phosphatides at this stage of processing improves the stability of the oil</w:t>
      </w:r>
      <w:r w:rsidRPr="005E5797">
        <w:t>.</w:t>
      </w:r>
    </w:p>
    <w:p w14:paraId="6481D249" w14:textId="339DE17B" w:rsidR="000D6B6A" w:rsidRPr="005E5797" w:rsidRDefault="000D6B6A" w:rsidP="000D6B6A">
      <w:pPr>
        <w:rPr>
          <w:lang w:eastAsia="en-AU" w:bidi="ar-SA"/>
        </w:rPr>
      </w:pPr>
      <w:r w:rsidRPr="005E5797">
        <w:rPr>
          <w:lang w:eastAsia="en-AU" w:bidi="ar-SA"/>
        </w:rPr>
        <w:t xml:space="preserve">The enzyme performs its function of catalysing the hydrolysis of ester bonds in phospholipids during the </w:t>
      </w:r>
      <w:r w:rsidR="00B1375B">
        <w:rPr>
          <w:lang w:eastAsia="en-AU" w:bidi="ar-SA"/>
        </w:rPr>
        <w:t xml:space="preserve">processing </w:t>
      </w:r>
      <w:r w:rsidRPr="005E5797">
        <w:rPr>
          <w:lang w:eastAsia="en-AU" w:bidi="ar-SA"/>
        </w:rPr>
        <w:t xml:space="preserve">of vegetable oils. It is therefore performing as a processing aid </w:t>
      </w:r>
      <w:r w:rsidR="00B1375B">
        <w:rPr>
          <w:lang w:eastAsia="en-AU" w:bidi="ar-SA"/>
        </w:rPr>
        <w:t>for the purposes of</w:t>
      </w:r>
      <w:r w:rsidRPr="005E5797">
        <w:rPr>
          <w:lang w:eastAsia="en-AU" w:bidi="ar-SA"/>
        </w:rPr>
        <w:t xml:space="preserve"> the Code.</w:t>
      </w:r>
    </w:p>
    <w:p w14:paraId="636D1721" w14:textId="336B5673" w:rsidR="000D6B6A" w:rsidRPr="000D6B6A" w:rsidRDefault="000D6B6A" w:rsidP="000D6B6A">
      <w:r w:rsidRPr="000D6B6A">
        <w:t xml:space="preserve">The Code already permits </w:t>
      </w:r>
      <w:r w:rsidRPr="000D6B6A">
        <w:rPr>
          <w:lang w:eastAsia="en-AU" w:bidi="ar-SA"/>
        </w:rPr>
        <w:t>phospholipase A1</w:t>
      </w:r>
      <w:r w:rsidR="00574197">
        <w:rPr>
          <w:lang w:eastAsia="en-AU" w:bidi="ar-SA"/>
        </w:rPr>
        <w:t>,</w:t>
      </w:r>
      <w:r w:rsidRPr="000D6B6A">
        <w:rPr>
          <w:lang w:eastAsia="en-AU" w:bidi="ar-SA"/>
        </w:rPr>
        <w:t xml:space="preserve"> </w:t>
      </w:r>
      <w:r w:rsidRPr="000D6B6A">
        <w:t>from a different source</w:t>
      </w:r>
      <w:r w:rsidR="00EC746D">
        <w:t xml:space="preserve"> (GM) source,</w:t>
      </w:r>
      <w:r w:rsidRPr="000D6B6A">
        <w:t xml:space="preserve"> to be used in the manufacture of all foods. The specific benefits of the action of phospholipase A1 in the </w:t>
      </w:r>
      <w:r w:rsidR="00E75499">
        <w:rPr>
          <w:lang w:eastAsia="en-AU" w:bidi="ar-SA"/>
        </w:rPr>
        <w:t>processing</w:t>
      </w:r>
      <w:r w:rsidR="00E75499" w:rsidRPr="000D6B6A">
        <w:rPr>
          <w:lang w:eastAsia="en-AU" w:bidi="ar-SA"/>
        </w:rPr>
        <w:t xml:space="preserve"> </w:t>
      </w:r>
      <w:r w:rsidRPr="000D6B6A">
        <w:rPr>
          <w:lang w:eastAsia="en-AU" w:bidi="ar-SA"/>
        </w:rPr>
        <w:t xml:space="preserve">of vegetable oils </w:t>
      </w:r>
      <w:r w:rsidRPr="000D6B6A">
        <w:t>are described below.</w:t>
      </w:r>
    </w:p>
    <w:p w14:paraId="5B52C310" w14:textId="757F5189" w:rsidR="000D6B6A" w:rsidRPr="00727C61" w:rsidRDefault="000D6B6A" w:rsidP="000D6B6A">
      <w:r>
        <w:t xml:space="preserve">Vegetable oils can be degummed by a variety of techniques. However, enzymatic degumming using phospholipases has several advantages over acid degumming and water degumming. Crude vegetable oils contain high levels of phosphorus in the form of phospholipids, which must be reduced before further processing to limit degradation of the oil. Enzymatic processes are more effective than water or acid techniques at removing phospholipids, especially those with non-hydratable phosphatides. </w:t>
      </w:r>
      <w:r w:rsidR="00EC746D">
        <w:t>P</w:t>
      </w:r>
      <w:r>
        <w:t>hospholipase A1 has lower specificity than phospholipase A</w:t>
      </w:r>
      <w:r>
        <w:rPr>
          <w:vertAlign w:val="subscript"/>
        </w:rPr>
        <w:t>2</w:t>
      </w:r>
      <w:r>
        <w:t xml:space="preserve"> and therefore supports a higher removal of phosphorus</w:t>
      </w:r>
      <w:r w:rsidR="00EC746D">
        <w:t xml:space="preserve"> (IUBMB 2022)</w:t>
      </w:r>
      <w:r>
        <w:t>.</w:t>
      </w:r>
    </w:p>
    <w:p w14:paraId="1112190D" w14:textId="77777777" w:rsidR="000D6B6A" w:rsidRPr="001D1FB4" w:rsidRDefault="000D6B6A" w:rsidP="000D6B6A">
      <w:pPr>
        <w:keepNext/>
        <w:tabs>
          <w:tab w:val="left" w:pos="851"/>
        </w:tabs>
        <w:spacing w:before="240" w:after="240"/>
        <w:outlineLvl w:val="1"/>
        <w:rPr>
          <w:rFonts w:cs="Arial"/>
          <w:b/>
          <w:bCs/>
          <w:sz w:val="28"/>
          <w:szCs w:val="22"/>
          <w:lang w:bidi="ar-SA"/>
        </w:rPr>
      </w:pPr>
      <w:bookmarkStart w:id="66" w:name="_Toc67559430"/>
      <w:bookmarkStart w:id="67" w:name="_Toc75789514"/>
      <w:bookmarkStart w:id="68" w:name="_Toc76390763"/>
      <w:bookmarkStart w:id="69" w:name="_Toc67559432"/>
      <w:bookmarkStart w:id="70" w:name="_Toc75789516"/>
      <w:bookmarkStart w:id="71" w:name="_Toc76390765"/>
      <w:bookmarkStart w:id="72" w:name="_Toc95987207"/>
      <w:bookmarkStart w:id="73" w:name="_Toc99464554"/>
      <w:bookmarkStart w:id="74" w:name="_Toc99458051"/>
      <w:bookmarkStart w:id="75" w:name="_Toc100130610"/>
      <w:bookmarkStart w:id="76" w:name="_Toc107223000"/>
      <w:bookmarkEnd w:id="66"/>
      <w:bookmarkEnd w:id="67"/>
      <w:bookmarkEnd w:id="68"/>
      <w:r w:rsidRPr="000D6B6A">
        <w:rPr>
          <w:rFonts w:cs="Arial"/>
          <w:b/>
          <w:bCs/>
          <w:sz w:val="28"/>
          <w:szCs w:val="22"/>
          <w:lang w:bidi="ar-SA"/>
        </w:rPr>
        <w:lastRenderedPageBreak/>
        <w:t>2.5</w:t>
      </w:r>
      <w:r w:rsidRPr="000D6B6A">
        <w:rPr>
          <w:rFonts w:cs="Arial"/>
          <w:b/>
          <w:bCs/>
          <w:sz w:val="28"/>
          <w:szCs w:val="22"/>
          <w:lang w:bidi="ar-SA"/>
        </w:rPr>
        <w:tab/>
        <w:t>Food technology conclusion</w:t>
      </w:r>
      <w:bookmarkEnd w:id="69"/>
      <w:bookmarkEnd w:id="70"/>
      <w:bookmarkEnd w:id="71"/>
      <w:bookmarkEnd w:id="72"/>
      <w:bookmarkEnd w:id="73"/>
      <w:bookmarkEnd w:id="74"/>
      <w:bookmarkEnd w:id="75"/>
      <w:bookmarkEnd w:id="76"/>
    </w:p>
    <w:p w14:paraId="7E57D233" w14:textId="1ADAD4EA" w:rsidR="000D6B6A" w:rsidRPr="00AC3A80" w:rsidRDefault="000D6B6A" w:rsidP="000D6B6A">
      <w:pPr>
        <w:rPr>
          <w:lang w:val="en-AU" w:bidi="ar-SA"/>
        </w:rPr>
      </w:pPr>
      <w:r>
        <w:rPr>
          <w:lang w:eastAsia="en-AU" w:bidi="ar-SA"/>
        </w:rPr>
        <w:t>FSANZ concludes that the proposed use of this phospholipase A</w:t>
      </w:r>
      <w:r w:rsidRPr="00A2763F">
        <w:rPr>
          <w:lang w:eastAsia="en-AU" w:bidi="ar-SA"/>
        </w:rPr>
        <w:t>1</w:t>
      </w:r>
      <w:r>
        <w:rPr>
          <w:lang w:eastAsia="en-AU" w:bidi="ar-SA"/>
        </w:rPr>
        <w:t xml:space="preserve"> as an enzyme in the </w:t>
      </w:r>
      <w:r w:rsidR="00E75499">
        <w:rPr>
          <w:lang w:eastAsia="en-AU" w:bidi="ar-SA"/>
        </w:rPr>
        <w:t>processing</w:t>
      </w:r>
      <w:r w:rsidR="00E75499" w:rsidRPr="005E5797">
        <w:rPr>
          <w:lang w:eastAsia="en-AU" w:bidi="ar-SA"/>
        </w:rPr>
        <w:t xml:space="preserve"> </w:t>
      </w:r>
      <w:r w:rsidRPr="005E5797">
        <w:rPr>
          <w:lang w:eastAsia="en-AU" w:bidi="ar-SA"/>
        </w:rPr>
        <w:t>of vegetable oils</w:t>
      </w:r>
      <w:r>
        <w:rPr>
          <w:lang w:eastAsia="en-AU" w:bidi="ar-SA"/>
        </w:rPr>
        <w:t xml:space="preserve"> is consistent with </w:t>
      </w:r>
      <w:r w:rsidRPr="000B08E1">
        <w:rPr>
          <w:lang w:eastAsia="en-AU" w:bidi="ar-SA"/>
        </w:rPr>
        <w:t>its typical function</w:t>
      </w:r>
      <w:r w:rsidR="00E75499" w:rsidRPr="00E75499">
        <w:t xml:space="preserve"> </w:t>
      </w:r>
      <w:r w:rsidR="00E75499" w:rsidRPr="00E75499">
        <w:rPr>
          <w:lang w:eastAsia="en-AU" w:bidi="ar-SA"/>
        </w:rPr>
        <w:t>of catalysing the hydrolysis of phospholipids</w:t>
      </w:r>
      <w:r>
        <w:rPr>
          <w:lang w:eastAsia="en-AU" w:bidi="ar-SA"/>
        </w:rPr>
        <w:t xml:space="preserve">. </w:t>
      </w:r>
      <w:r w:rsidR="00445589">
        <w:rPr>
          <w:lang w:eastAsia="en-AU" w:bidi="ar-SA"/>
        </w:rPr>
        <w:t xml:space="preserve">This converts the </w:t>
      </w:r>
      <w:r w:rsidR="00445589" w:rsidRPr="00445589">
        <w:rPr>
          <w:lang w:eastAsia="en-AU" w:bidi="ar-SA"/>
        </w:rPr>
        <w:t xml:space="preserve">phosphatides in vegetable oil to a hydrated gum that can easily </w:t>
      </w:r>
      <w:r w:rsidR="00445589">
        <w:rPr>
          <w:lang w:eastAsia="en-AU" w:bidi="ar-SA"/>
        </w:rPr>
        <w:t xml:space="preserve">be </w:t>
      </w:r>
      <w:r w:rsidR="00445589" w:rsidRPr="00445589">
        <w:rPr>
          <w:lang w:eastAsia="en-AU" w:bidi="ar-SA"/>
        </w:rPr>
        <w:t>removed before further refining</w:t>
      </w:r>
      <w:r w:rsidR="00445589">
        <w:rPr>
          <w:lang w:eastAsia="en-AU" w:bidi="ar-SA"/>
        </w:rPr>
        <w:t xml:space="preserve"> of the oil</w:t>
      </w:r>
      <w:r w:rsidR="00445589" w:rsidRPr="00445589">
        <w:rPr>
          <w:lang w:eastAsia="en-AU" w:bidi="ar-SA"/>
        </w:rPr>
        <w:t xml:space="preserve">. </w:t>
      </w:r>
      <w:r>
        <w:t>FSANZ concludes that t</w:t>
      </w:r>
      <w:r w:rsidRPr="00F00B9A">
        <w:t>he evidence presented to support the proposed use</w:t>
      </w:r>
      <w:r w:rsidRPr="00D41CB3">
        <w:t xml:space="preserve"> </w:t>
      </w:r>
      <w:r w:rsidRPr="00F00B9A">
        <w:t xml:space="preserve">provides adequate assurance that </w:t>
      </w:r>
      <w:r w:rsidRPr="00AC3A80">
        <w:rPr>
          <w:lang w:val="en-AU" w:bidi="ar-SA"/>
        </w:rPr>
        <w:t xml:space="preserve">the use of the enzyme, in the form </w:t>
      </w:r>
      <w:r>
        <w:rPr>
          <w:lang w:val="en-AU" w:bidi="ar-SA"/>
        </w:rPr>
        <w:t>and requested amount</w:t>
      </w:r>
      <w:r w:rsidR="0027493C">
        <w:rPr>
          <w:lang w:val="en-AU" w:bidi="ar-SA"/>
        </w:rPr>
        <w:t xml:space="preserve"> (a</w:t>
      </w:r>
      <w:r>
        <w:rPr>
          <w:lang w:val="en-AU" w:bidi="ar-SA"/>
        </w:rPr>
        <w:t xml:space="preserve"> level not higher than necessary to achieve the desired enzyme reaction, according to GMP levels</w:t>
      </w:r>
      <w:r w:rsidR="0027493C">
        <w:rPr>
          <w:lang w:val="en-AU" w:bidi="ar-SA"/>
        </w:rPr>
        <w:t>)</w:t>
      </w:r>
      <w:r w:rsidRPr="00AC3A80">
        <w:rPr>
          <w:lang w:val="en-AU" w:bidi="ar-SA"/>
        </w:rPr>
        <w:t>, is technologically justified</w:t>
      </w:r>
      <w:r>
        <w:rPr>
          <w:lang w:val="en-AU" w:bidi="ar-SA"/>
        </w:rPr>
        <w:t xml:space="preserve"> and has been demonstrated to be effective in achieving </w:t>
      </w:r>
      <w:r w:rsidR="00EC746D">
        <w:rPr>
          <w:lang w:val="en-AU" w:bidi="ar-SA"/>
        </w:rPr>
        <w:t xml:space="preserve">the </w:t>
      </w:r>
      <w:r>
        <w:rPr>
          <w:lang w:val="en-AU" w:bidi="ar-SA"/>
        </w:rPr>
        <w:t>stated purpose.</w:t>
      </w:r>
    </w:p>
    <w:p w14:paraId="0A27DD80" w14:textId="4DC2F4AF" w:rsidR="000D6B6A" w:rsidRDefault="000D6B6A" w:rsidP="000D6B6A">
      <w:pPr>
        <w:rPr>
          <w:lang w:eastAsia="en-AU" w:bidi="ar-SA"/>
        </w:rPr>
      </w:pPr>
      <w:r>
        <w:rPr>
          <w:lang w:eastAsia="en-AU" w:bidi="ar-SA"/>
        </w:rPr>
        <w:t>Phospholipase A</w:t>
      </w:r>
      <w:r w:rsidRPr="00A2763F">
        <w:rPr>
          <w:lang w:eastAsia="en-AU" w:bidi="ar-SA"/>
        </w:rPr>
        <w:t>1</w:t>
      </w:r>
      <w:r>
        <w:rPr>
          <w:lang w:eastAsia="en-AU" w:bidi="ar-SA"/>
        </w:rPr>
        <w:t xml:space="preserve"> performs its technological purpose during the production of food and is not performing a technological purpose in the final food. </w:t>
      </w:r>
      <w:r w:rsidRPr="00F00B9A">
        <w:t xml:space="preserve">It is therefore appropriately categorised as a processing aid </w:t>
      </w:r>
      <w:r w:rsidR="00E75499">
        <w:t>for the purposes of</w:t>
      </w:r>
      <w:r>
        <w:t xml:space="preserve"> the Code</w:t>
      </w:r>
      <w:r w:rsidRPr="00F00B9A">
        <w:t>.</w:t>
      </w:r>
    </w:p>
    <w:p w14:paraId="36692B6D" w14:textId="64AEA1F1" w:rsidR="000D6B6A" w:rsidRPr="003A01FB" w:rsidRDefault="000D6B6A" w:rsidP="000D6B6A">
      <w:r>
        <w:rPr>
          <w:lang w:eastAsia="en-AU" w:bidi="ar-SA"/>
        </w:rPr>
        <w:t>There are relevant identity and purity specifications for the enzyme in the Code and the applicant provided evidence that the</w:t>
      </w:r>
      <w:r w:rsidR="00E75499">
        <w:rPr>
          <w:lang w:eastAsia="en-AU" w:bidi="ar-SA"/>
        </w:rPr>
        <w:t>ir</w:t>
      </w:r>
      <w:r>
        <w:rPr>
          <w:lang w:eastAsia="en-AU" w:bidi="ar-SA"/>
        </w:rPr>
        <w:t xml:space="preserve"> enzyme meets these specifications.</w:t>
      </w:r>
    </w:p>
    <w:p w14:paraId="7917E334" w14:textId="593B97E2" w:rsidR="008472C0" w:rsidRDefault="008441E8" w:rsidP="008472C0">
      <w:pPr>
        <w:keepNext/>
        <w:spacing w:before="240" w:after="240"/>
        <w:ind w:left="851" w:hanging="851"/>
        <w:outlineLvl w:val="0"/>
        <w:rPr>
          <w:b/>
          <w:bCs/>
          <w:sz w:val="36"/>
          <w:szCs w:val="28"/>
          <w:lang w:bidi="ar-SA"/>
        </w:rPr>
      </w:pPr>
      <w:bookmarkStart w:id="77" w:name="_Toc505255637"/>
      <w:bookmarkStart w:id="78" w:name="_Toc536543995"/>
      <w:bookmarkStart w:id="79" w:name="_Toc536607130"/>
      <w:bookmarkStart w:id="80" w:name="_Toc30154603"/>
      <w:bookmarkStart w:id="81" w:name="_Toc85204766"/>
      <w:bookmarkStart w:id="82" w:name="_Toc85211328"/>
      <w:bookmarkStart w:id="83" w:name="_Toc87259303"/>
      <w:bookmarkStart w:id="84" w:name="_Toc107223001"/>
      <w:bookmarkEnd w:id="35"/>
      <w:bookmarkEnd w:id="36"/>
      <w:bookmarkEnd w:id="37"/>
      <w:bookmarkEnd w:id="38"/>
      <w:r>
        <w:rPr>
          <w:b/>
          <w:bCs/>
          <w:sz w:val="36"/>
          <w:szCs w:val="28"/>
          <w:lang w:bidi="ar-SA"/>
        </w:rPr>
        <w:t>3</w:t>
      </w:r>
      <w:r w:rsidR="008472C0" w:rsidRPr="008472C0">
        <w:rPr>
          <w:b/>
          <w:bCs/>
          <w:sz w:val="36"/>
          <w:szCs w:val="28"/>
          <w:lang w:bidi="ar-SA"/>
        </w:rPr>
        <w:tab/>
        <w:t>Safety assessment</w:t>
      </w:r>
      <w:bookmarkStart w:id="85" w:name="_Toc471740081"/>
      <w:bookmarkStart w:id="86" w:name="_Toc499282437"/>
      <w:bookmarkEnd w:id="77"/>
      <w:bookmarkEnd w:id="78"/>
      <w:bookmarkEnd w:id="79"/>
      <w:bookmarkEnd w:id="80"/>
      <w:bookmarkEnd w:id="81"/>
      <w:bookmarkEnd w:id="82"/>
      <w:bookmarkEnd w:id="83"/>
      <w:bookmarkEnd w:id="84"/>
    </w:p>
    <w:p w14:paraId="7C9FE483" w14:textId="1998C4AA" w:rsidR="00582A5F" w:rsidRPr="00582A5F" w:rsidRDefault="00582A5F" w:rsidP="00582A5F">
      <w:r w:rsidRPr="008C4407">
        <w:rPr>
          <w:lang w:bidi="ar-SA"/>
        </w:rPr>
        <w:t>Some information</w:t>
      </w:r>
      <w:r>
        <w:rPr>
          <w:lang w:bidi="ar-SA"/>
        </w:rPr>
        <w:t xml:space="preserve"> relevant to this section</w:t>
      </w:r>
      <w:r w:rsidRPr="008C4407">
        <w:rPr>
          <w:lang w:bidi="ar-SA"/>
        </w:rPr>
        <w:t xml:space="preserve"> is </w:t>
      </w:r>
      <w:r w:rsidR="00235FD6">
        <w:rPr>
          <w:lang w:bidi="ar-SA"/>
        </w:rPr>
        <w:t>CCI</w:t>
      </w:r>
      <w:r>
        <w:rPr>
          <w:lang w:bidi="ar-SA"/>
        </w:rPr>
        <w:t>,</w:t>
      </w:r>
      <w:r w:rsidRPr="008C4407">
        <w:rPr>
          <w:lang w:bidi="ar-SA"/>
        </w:rPr>
        <w:t xml:space="preserve"> so </w:t>
      </w:r>
      <w:r>
        <w:rPr>
          <w:lang w:bidi="ar-SA"/>
        </w:rPr>
        <w:t xml:space="preserve">full details </w:t>
      </w:r>
      <w:r w:rsidRPr="008C4407">
        <w:rPr>
          <w:lang w:bidi="ar-SA"/>
        </w:rPr>
        <w:t>cann</w:t>
      </w:r>
      <w:r>
        <w:rPr>
          <w:lang w:bidi="ar-SA"/>
        </w:rPr>
        <w:t>ot be provided in this public report.</w:t>
      </w:r>
    </w:p>
    <w:p w14:paraId="24742D44" w14:textId="77777777" w:rsidR="008472C0" w:rsidRPr="008472C0" w:rsidRDefault="008472C0" w:rsidP="008472C0">
      <w:pPr>
        <w:keepNext/>
        <w:spacing w:before="240" w:after="240"/>
        <w:outlineLvl w:val="1"/>
        <w:rPr>
          <w:rFonts w:cs="Arial"/>
          <w:b/>
          <w:bCs/>
          <w:sz w:val="28"/>
          <w:szCs w:val="22"/>
          <w:lang w:bidi="ar-SA"/>
        </w:rPr>
      </w:pPr>
      <w:bookmarkStart w:id="87" w:name="_Toc471740085"/>
      <w:bookmarkStart w:id="88" w:name="_Toc499282440"/>
      <w:bookmarkStart w:id="89" w:name="_Toc505255639"/>
      <w:bookmarkStart w:id="90" w:name="_Toc536543996"/>
      <w:bookmarkStart w:id="91" w:name="_Toc536607131"/>
      <w:bookmarkStart w:id="92" w:name="_Toc30154604"/>
      <w:bookmarkStart w:id="93" w:name="_Toc85204767"/>
      <w:bookmarkStart w:id="94" w:name="_Toc85211329"/>
      <w:bookmarkStart w:id="95" w:name="_Toc87259304"/>
      <w:bookmarkStart w:id="96" w:name="_Toc107223002"/>
      <w:bookmarkEnd w:id="85"/>
      <w:bookmarkEnd w:id="86"/>
      <w:r w:rsidRPr="008472C0">
        <w:rPr>
          <w:rFonts w:cs="Arial"/>
          <w:b/>
          <w:bCs/>
          <w:sz w:val="28"/>
          <w:szCs w:val="22"/>
          <w:lang w:bidi="ar-SA"/>
        </w:rPr>
        <w:t>3.</w:t>
      </w:r>
      <w:bookmarkEnd w:id="87"/>
      <w:r w:rsidRPr="008472C0">
        <w:rPr>
          <w:rFonts w:cs="Arial"/>
          <w:b/>
          <w:bCs/>
          <w:sz w:val="28"/>
          <w:szCs w:val="22"/>
          <w:lang w:bidi="ar-SA"/>
        </w:rPr>
        <w:t>1</w:t>
      </w:r>
      <w:r w:rsidRPr="008472C0">
        <w:rPr>
          <w:rFonts w:cs="Arial"/>
          <w:b/>
          <w:bCs/>
          <w:sz w:val="28"/>
          <w:szCs w:val="22"/>
          <w:lang w:bidi="ar-SA"/>
        </w:rPr>
        <w:tab/>
        <w:t>History of use</w:t>
      </w:r>
      <w:bookmarkEnd w:id="88"/>
      <w:bookmarkEnd w:id="89"/>
      <w:bookmarkEnd w:id="90"/>
      <w:bookmarkEnd w:id="91"/>
      <w:bookmarkEnd w:id="92"/>
      <w:bookmarkEnd w:id="93"/>
      <w:bookmarkEnd w:id="94"/>
      <w:bookmarkEnd w:id="95"/>
      <w:bookmarkEnd w:id="96"/>
    </w:p>
    <w:p w14:paraId="17F9486C" w14:textId="2706E183" w:rsidR="008472C0" w:rsidRDefault="008472C0" w:rsidP="008472C0">
      <w:pPr>
        <w:keepNext/>
        <w:spacing w:before="240" w:after="240"/>
        <w:ind w:left="851" w:hanging="851"/>
        <w:outlineLvl w:val="2"/>
        <w:rPr>
          <w:b/>
          <w:bCs/>
          <w:lang w:eastAsia="en-AU" w:bidi="ar-SA"/>
        </w:rPr>
      </w:pPr>
      <w:bookmarkStart w:id="97" w:name="_Toc498940968"/>
      <w:bookmarkStart w:id="98" w:name="_Toc499282441"/>
      <w:bookmarkStart w:id="99" w:name="_Toc536543997"/>
      <w:bookmarkStart w:id="100" w:name="_Toc536607132"/>
      <w:bookmarkStart w:id="101" w:name="_Toc30154605"/>
      <w:bookmarkStart w:id="102" w:name="_Toc85204768"/>
      <w:bookmarkStart w:id="103" w:name="_Toc85211330"/>
      <w:bookmarkStart w:id="104" w:name="_Toc87259305"/>
      <w:bookmarkStart w:id="105" w:name="_Toc107223003"/>
      <w:r w:rsidRPr="0033393C">
        <w:rPr>
          <w:b/>
          <w:bCs/>
          <w:lang w:eastAsia="en-AU" w:bidi="ar-SA"/>
        </w:rPr>
        <w:t>3.1.1</w:t>
      </w:r>
      <w:r>
        <w:tab/>
      </w:r>
      <w:r w:rsidRPr="0033393C">
        <w:rPr>
          <w:b/>
          <w:bCs/>
          <w:lang w:eastAsia="en-AU" w:bidi="ar-SA"/>
        </w:rPr>
        <w:t>Host organism</w:t>
      </w:r>
      <w:bookmarkEnd w:id="97"/>
      <w:bookmarkEnd w:id="98"/>
      <w:bookmarkEnd w:id="99"/>
      <w:bookmarkEnd w:id="100"/>
      <w:bookmarkEnd w:id="101"/>
      <w:bookmarkEnd w:id="102"/>
      <w:bookmarkEnd w:id="103"/>
      <w:bookmarkEnd w:id="104"/>
      <w:bookmarkEnd w:id="105"/>
    </w:p>
    <w:p w14:paraId="3C29AAE9" w14:textId="1DBF79C6" w:rsidR="009C737E" w:rsidRPr="00CB5540" w:rsidRDefault="00AA2F7B" w:rsidP="009C737E">
      <w:pPr>
        <w:rPr>
          <w:lang w:eastAsia="en-AU" w:bidi="ar-SA"/>
        </w:rPr>
      </w:pPr>
      <w:r w:rsidRPr="00D32582">
        <w:rPr>
          <w:i/>
          <w:lang w:eastAsia="en-AU" w:bidi="ar-SA"/>
        </w:rPr>
        <w:t>A</w:t>
      </w:r>
      <w:r>
        <w:rPr>
          <w:i/>
          <w:lang w:eastAsia="en-AU" w:bidi="ar-SA"/>
        </w:rPr>
        <w:t>.</w:t>
      </w:r>
      <w:r>
        <w:rPr>
          <w:lang w:eastAsia="en-AU" w:bidi="ar-SA"/>
        </w:rPr>
        <w:t xml:space="preserve"> </w:t>
      </w:r>
      <w:r w:rsidRPr="00D32582">
        <w:rPr>
          <w:i/>
          <w:lang w:eastAsia="en-AU" w:bidi="ar-SA"/>
        </w:rPr>
        <w:t>niger</w:t>
      </w:r>
      <w:r>
        <w:rPr>
          <w:lang w:eastAsia="en-AU" w:bidi="ar-SA"/>
        </w:rPr>
        <w:t xml:space="preserve"> is widely used as a production organism and host for the manufacture of food ingredients and enzymes. </w:t>
      </w:r>
      <w:r w:rsidRPr="00D32582">
        <w:rPr>
          <w:i/>
          <w:lang w:eastAsia="en-AU" w:bidi="ar-SA"/>
        </w:rPr>
        <w:t>A</w:t>
      </w:r>
      <w:r>
        <w:rPr>
          <w:lang w:eastAsia="en-AU" w:bidi="ar-SA"/>
        </w:rPr>
        <w:t xml:space="preserve">. </w:t>
      </w:r>
      <w:r w:rsidRPr="00D32582">
        <w:rPr>
          <w:i/>
          <w:lang w:eastAsia="en-AU" w:bidi="ar-SA"/>
        </w:rPr>
        <w:t>niger</w:t>
      </w:r>
      <w:r>
        <w:rPr>
          <w:lang w:eastAsia="en-AU" w:bidi="ar-SA"/>
        </w:rPr>
        <w:t xml:space="preserve"> is recognised as neither pathogenic nor toxigenic. </w:t>
      </w:r>
      <w:r>
        <w:t xml:space="preserve">The applicant has used the </w:t>
      </w:r>
      <w:r w:rsidRPr="00AA2F7B">
        <w:rPr>
          <w:i/>
        </w:rPr>
        <w:t>A</w:t>
      </w:r>
      <w:r>
        <w:t xml:space="preserve">. </w:t>
      </w:r>
      <w:r w:rsidRPr="00AA2F7B">
        <w:rPr>
          <w:i/>
        </w:rPr>
        <w:t>niger</w:t>
      </w:r>
      <w:r>
        <w:t xml:space="preserve"> BO-1 strain lineage for food enzyme production for over 30 years. FSANZ has previously assessed a host organism from the BO-1 strain lineage in </w:t>
      </w:r>
      <w:r w:rsidR="00F26794">
        <w:t xml:space="preserve">an </w:t>
      </w:r>
      <w:r>
        <w:t xml:space="preserve">application </w:t>
      </w:r>
      <w:r w:rsidR="00203E9F">
        <w:t xml:space="preserve">for </w:t>
      </w:r>
      <w:r>
        <w:t>glucan 1,4-alpha-glucosidase (EC 3.2.1.3)</w:t>
      </w:r>
      <w:r w:rsidR="00203E9F">
        <w:t xml:space="preserve"> (A1184)</w:t>
      </w:r>
      <w:r>
        <w:t>.</w:t>
      </w:r>
      <w:r w:rsidR="0047150C">
        <w:t xml:space="preserve"> </w:t>
      </w:r>
      <w:r>
        <w:rPr>
          <w:lang w:eastAsia="en-AU" w:bidi="ar-SA"/>
        </w:rPr>
        <w:t>The identity of the host organism was determined using standard molecular techniques.</w:t>
      </w:r>
    </w:p>
    <w:p w14:paraId="515C0BFC" w14:textId="0EFFFB3F" w:rsidR="008472C0" w:rsidRDefault="008472C0" w:rsidP="008472C0">
      <w:pPr>
        <w:keepNext/>
        <w:spacing w:before="240" w:after="240"/>
        <w:ind w:left="851" w:hanging="851"/>
        <w:outlineLvl w:val="2"/>
        <w:rPr>
          <w:b/>
          <w:bCs/>
          <w:lang w:eastAsia="en-AU" w:bidi="ar-SA"/>
        </w:rPr>
      </w:pPr>
      <w:bookmarkStart w:id="106" w:name="_Toc30154606"/>
      <w:bookmarkStart w:id="107" w:name="_Toc85204769"/>
      <w:bookmarkStart w:id="108" w:name="_Toc85211331"/>
      <w:bookmarkStart w:id="109" w:name="_Toc87259306"/>
      <w:bookmarkStart w:id="110" w:name="_Toc107223004"/>
      <w:r w:rsidRPr="0033393C">
        <w:rPr>
          <w:b/>
          <w:bCs/>
          <w:lang w:eastAsia="en-AU" w:bidi="ar-SA"/>
        </w:rPr>
        <w:t>3.1.2</w:t>
      </w:r>
      <w:r>
        <w:tab/>
      </w:r>
      <w:r w:rsidRPr="0033393C">
        <w:rPr>
          <w:b/>
          <w:bCs/>
          <w:lang w:eastAsia="en-AU" w:bidi="ar-SA"/>
        </w:rPr>
        <w:t>Gene donor organisms</w:t>
      </w:r>
      <w:bookmarkEnd w:id="106"/>
      <w:bookmarkEnd w:id="107"/>
      <w:bookmarkEnd w:id="108"/>
      <w:bookmarkEnd w:id="109"/>
      <w:bookmarkEnd w:id="110"/>
    </w:p>
    <w:p w14:paraId="0BE4B8D4" w14:textId="31B2FEF0" w:rsidR="00CB5540" w:rsidRDefault="00203E9F" w:rsidP="00203E9F">
      <w:r>
        <w:rPr>
          <w:lang w:eastAsia="en-AU" w:bidi="ar-SA"/>
        </w:rPr>
        <w:t xml:space="preserve">The gene donor for </w:t>
      </w:r>
      <w:r w:rsidRPr="00203E9F">
        <w:rPr>
          <w:lang w:eastAsia="en-AU" w:bidi="ar-SA"/>
        </w:rPr>
        <w:t>phospholipase A1 gene</w:t>
      </w:r>
      <w:r>
        <w:rPr>
          <w:lang w:eastAsia="en-AU" w:bidi="ar-SA"/>
        </w:rPr>
        <w:t xml:space="preserve"> is identified </w:t>
      </w:r>
      <w:r w:rsidR="00CB5540">
        <w:rPr>
          <w:lang w:eastAsia="en-AU" w:bidi="ar-SA"/>
        </w:rPr>
        <w:t xml:space="preserve">in the application </w:t>
      </w:r>
      <w:r>
        <w:rPr>
          <w:lang w:eastAsia="en-AU" w:bidi="ar-SA"/>
        </w:rPr>
        <w:t xml:space="preserve">as </w:t>
      </w:r>
      <w:r>
        <w:rPr>
          <w:rFonts w:eastAsia="Calibri"/>
          <w:i/>
          <w:szCs w:val="22"/>
          <w:lang w:eastAsia="en-AU" w:bidi="ar-SA"/>
        </w:rPr>
        <w:t xml:space="preserve">Talaromyces </w:t>
      </w:r>
      <w:r w:rsidRPr="001C6AA8">
        <w:rPr>
          <w:rFonts w:eastAsia="Calibri"/>
          <w:i/>
          <w:szCs w:val="22"/>
          <w:lang w:eastAsia="en-AU" w:bidi="ar-SA"/>
        </w:rPr>
        <w:t>leycettanus</w:t>
      </w:r>
      <w:r>
        <w:rPr>
          <w:rFonts w:eastAsia="Calibri"/>
          <w:szCs w:val="22"/>
          <w:lang w:eastAsia="en-AU" w:bidi="ar-SA"/>
        </w:rPr>
        <w:t xml:space="preserve">. A recent paper by Houbraken et al. (2020) reviewed the family of </w:t>
      </w:r>
      <w:r w:rsidRPr="00203E9F">
        <w:rPr>
          <w:i/>
        </w:rPr>
        <w:t>Aspergillaceae</w:t>
      </w:r>
      <w:r>
        <w:rPr>
          <w:rFonts w:eastAsia="Calibri"/>
          <w:szCs w:val="22"/>
          <w:lang w:eastAsia="en-AU" w:bidi="ar-SA"/>
        </w:rPr>
        <w:t xml:space="preserve"> fungi</w:t>
      </w:r>
      <w:r w:rsidR="006B131F">
        <w:rPr>
          <w:rFonts w:eastAsia="Calibri"/>
          <w:szCs w:val="22"/>
          <w:lang w:eastAsia="en-AU" w:bidi="ar-SA"/>
        </w:rPr>
        <w:t xml:space="preserve"> using phylogenetic methods</w:t>
      </w:r>
      <w:r>
        <w:rPr>
          <w:rFonts w:eastAsia="Calibri"/>
          <w:szCs w:val="22"/>
          <w:lang w:eastAsia="en-AU" w:bidi="ar-SA"/>
        </w:rPr>
        <w:t>.</w:t>
      </w:r>
      <w:r w:rsidR="006B131F">
        <w:rPr>
          <w:rFonts w:eastAsia="Calibri"/>
          <w:szCs w:val="22"/>
          <w:lang w:eastAsia="en-AU" w:bidi="ar-SA"/>
        </w:rPr>
        <w:t xml:space="preserve"> An outcome of the review was the creation of new genera including </w:t>
      </w:r>
      <w:r w:rsidR="006B131F" w:rsidRPr="006B131F">
        <w:rPr>
          <w:i/>
        </w:rPr>
        <w:t>Evansstolkia</w:t>
      </w:r>
      <w:r w:rsidR="006B131F">
        <w:t xml:space="preserve"> </w:t>
      </w:r>
      <w:r w:rsidR="006B131F">
        <w:rPr>
          <w:rFonts w:eastAsia="Calibri"/>
          <w:szCs w:val="22"/>
          <w:lang w:eastAsia="en-AU" w:bidi="ar-SA"/>
        </w:rPr>
        <w:t xml:space="preserve">and new combination species </w:t>
      </w:r>
      <w:r w:rsidR="006B131F" w:rsidRPr="006B131F">
        <w:rPr>
          <w:i/>
        </w:rPr>
        <w:t>Evansstolkia</w:t>
      </w:r>
      <w:r w:rsidR="006B131F">
        <w:t xml:space="preserve"> </w:t>
      </w:r>
      <w:r w:rsidR="006B131F" w:rsidRPr="006B131F">
        <w:rPr>
          <w:i/>
        </w:rPr>
        <w:t>leycettana</w:t>
      </w:r>
      <w:r w:rsidR="006B131F">
        <w:rPr>
          <w:i/>
        </w:rPr>
        <w:t xml:space="preserve"> </w:t>
      </w:r>
      <w:r w:rsidR="005E0430">
        <w:t xml:space="preserve">(H.C. Evans &amp; Stolk) Houbraken, Frisvad &amp; Samson comb. nov. </w:t>
      </w:r>
    </w:p>
    <w:p w14:paraId="0D56698B" w14:textId="0D5A2933" w:rsidR="00203E9F" w:rsidRPr="005E0430" w:rsidRDefault="005E0430" w:rsidP="00203E9F">
      <w:pPr>
        <w:rPr>
          <w:rFonts w:eastAsia="Calibri"/>
          <w:szCs w:val="22"/>
          <w:lang w:eastAsia="en-AU" w:bidi="ar-SA"/>
        </w:rPr>
      </w:pPr>
      <w:r w:rsidRPr="005E0430">
        <w:rPr>
          <w:rFonts w:eastAsia="Calibri"/>
          <w:szCs w:val="22"/>
          <w:lang w:eastAsia="en-AU" w:bidi="ar-SA"/>
        </w:rPr>
        <w:t>GenBank lists the legitimate</w:t>
      </w:r>
      <w:r w:rsidR="006B131F">
        <w:rPr>
          <w:rFonts w:eastAsia="Calibri"/>
          <w:szCs w:val="22"/>
          <w:lang w:eastAsia="en-AU" w:bidi="ar-SA"/>
        </w:rPr>
        <w:t xml:space="preserve"> </w:t>
      </w:r>
      <w:r>
        <w:rPr>
          <w:rFonts w:eastAsia="Calibri"/>
          <w:szCs w:val="22"/>
          <w:lang w:eastAsia="en-AU" w:bidi="ar-SA"/>
        </w:rPr>
        <w:t xml:space="preserve">name as </w:t>
      </w:r>
      <w:r w:rsidRPr="005E0430">
        <w:rPr>
          <w:rFonts w:eastAsia="Calibri"/>
          <w:i/>
          <w:szCs w:val="22"/>
          <w:lang w:eastAsia="en-AU" w:bidi="ar-SA"/>
        </w:rPr>
        <w:t>Evansstolkia</w:t>
      </w:r>
      <w:r w:rsidRPr="005E0430">
        <w:rPr>
          <w:rFonts w:eastAsia="Calibri"/>
          <w:szCs w:val="22"/>
          <w:lang w:eastAsia="en-AU" w:bidi="ar-SA"/>
        </w:rPr>
        <w:t xml:space="preserve"> </w:t>
      </w:r>
      <w:r w:rsidRPr="005E0430">
        <w:rPr>
          <w:rFonts w:eastAsia="Calibri"/>
          <w:i/>
          <w:szCs w:val="22"/>
          <w:lang w:eastAsia="en-AU" w:bidi="ar-SA"/>
        </w:rPr>
        <w:t>leycettana</w:t>
      </w:r>
      <w:r w:rsidRPr="005E0430">
        <w:rPr>
          <w:rFonts w:eastAsia="Calibri"/>
          <w:szCs w:val="22"/>
          <w:lang w:eastAsia="en-AU" w:bidi="ar-SA"/>
        </w:rPr>
        <w:t xml:space="preserve"> (H.C. Evans &amp; Stolk) Houbraken, Frisvad &amp; Samson, Studies in Mycology 95: 89 (2020) [MB#832558] with </w:t>
      </w:r>
      <w:r>
        <w:rPr>
          <w:rFonts w:eastAsia="Calibri"/>
          <w:szCs w:val="22"/>
          <w:lang w:eastAsia="en-AU" w:bidi="ar-SA"/>
        </w:rPr>
        <w:t>a</w:t>
      </w:r>
      <w:r w:rsidRPr="005E0430">
        <w:rPr>
          <w:rFonts w:eastAsia="Calibri"/>
          <w:szCs w:val="22"/>
          <w:lang w:eastAsia="en-AU" w:bidi="ar-SA"/>
        </w:rPr>
        <w:t xml:space="preserve"> basionym </w:t>
      </w:r>
      <w:r w:rsidRPr="005E0430">
        <w:rPr>
          <w:rFonts w:eastAsia="Calibri"/>
          <w:i/>
          <w:szCs w:val="22"/>
          <w:lang w:eastAsia="en-AU" w:bidi="ar-SA"/>
        </w:rPr>
        <w:t>Talaromyces</w:t>
      </w:r>
      <w:r w:rsidRPr="005E0430">
        <w:rPr>
          <w:rFonts w:eastAsia="Calibri"/>
          <w:szCs w:val="22"/>
          <w:lang w:eastAsia="en-AU" w:bidi="ar-SA"/>
        </w:rPr>
        <w:t xml:space="preserve"> </w:t>
      </w:r>
      <w:r w:rsidRPr="005E0430">
        <w:rPr>
          <w:rFonts w:eastAsia="Calibri"/>
          <w:i/>
          <w:szCs w:val="22"/>
          <w:lang w:eastAsia="en-AU" w:bidi="ar-SA"/>
        </w:rPr>
        <w:t>leycettanus</w:t>
      </w:r>
      <w:r w:rsidRPr="005E0430">
        <w:rPr>
          <w:rFonts w:eastAsia="Calibri"/>
          <w:szCs w:val="22"/>
          <w:lang w:eastAsia="en-AU" w:bidi="ar-SA"/>
        </w:rPr>
        <w:t xml:space="preserve"> H.C. Evans &amp; Stolk, Transactions of the British Mycological Society 56: 45 (1971) [MB#324419]</w:t>
      </w:r>
      <w:r>
        <w:rPr>
          <w:rFonts w:eastAsia="Calibri"/>
          <w:szCs w:val="22"/>
          <w:lang w:eastAsia="en-AU" w:bidi="ar-SA"/>
        </w:rPr>
        <w:t>.</w:t>
      </w:r>
      <w:r w:rsidR="00CB5540">
        <w:rPr>
          <w:rFonts w:eastAsia="Calibri"/>
          <w:szCs w:val="22"/>
          <w:lang w:eastAsia="en-AU" w:bidi="ar-SA"/>
        </w:rPr>
        <w:t xml:space="preserve"> The</w:t>
      </w:r>
      <w:r w:rsidR="00BE1B91">
        <w:rPr>
          <w:rFonts w:eastAsia="Calibri"/>
          <w:szCs w:val="22"/>
          <w:lang w:eastAsia="en-AU" w:bidi="ar-SA"/>
        </w:rPr>
        <w:t>refore,</w:t>
      </w:r>
      <w:r w:rsidR="00CB5540">
        <w:rPr>
          <w:rFonts w:eastAsia="Calibri"/>
          <w:szCs w:val="22"/>
          <w:lang w:eastAsia="en-AU" w:bidi="ar-SA"/>
        </w:rPr>
        <w:t xml:space="preserve"> </w:t>
      </w:r>
      <w:r w:rsidR="00BE1B91">
        <w:rPr>
          <w:rFonts w:eastAsia="Calibri"/>
          <w:szCs w:val="22"/>
          <w:lang w:eastAsia="en-AU" w:bidi="ar-SA"/>
        </w:rPr>
        <w:t xml:space="preserve">the </w:t>
      </w:r>
      <w:r w:rsidR="00CB5540">
        <w:rPr>
          <w:rFonts w:eastAsia="Calibri"/>
          <w:szCs w:val="22"/>
          <w:lang w:eastAsia="en-AU" w:bidi="ar-SA"/>
        </w:rPr>
        <w:t xml:space="preserve">name of the gene donor organism </w:t>
      </w:r>
      <w:r w:rsidR="00BE1B91">
        <w:rPr>
          <w:rFonts w:eastAsia="Calibri"/>
          <w:szCs w:val="22"/>
          <w:lang w:eastAsia="en-AU" w:bidi="ar-SA"/>
        </w:rPr>
        <w:t xml:space="preserve">in this application is considered </w:t>
      </w:r>
      <w:r w:rsidR="00CB5540">
        <w:rPr>
          <w:rFonts w:eastAsia="Calibri"/>
          <w:szCs w:val="22"/>
          <w:lang w:eastAsia="en-AU" w:bidi="ar-SA"/>
        </w:rPr>
        <w:t xml:space="preserve">to be </w:t>
      </w:r>
      <w:r w:rsidR="00CB5540" w:rsidRPr="00CB5540">
        <w:rPr>
          <w:rFonts w:eastAsia="Calibri"/>
          <w:i/>
          <w:szCs w:val="22"/>
          <w:lang w:eastAsia="en-AU" w:bidi="ar-SA"/>
        </w:rPr>
        <w:t>Evansstolkia</w:t>
      </w:r>
      <w:r w:rsidR="00CB5540" w:rsidRPr="00CB5540">
        <w:rPr>
          <w:rFonts w:eastAsia="Calibri"/>
          <w:szCs w:val="22"/>
          <w:lang w:eastAsia="en-AU" w:bidi="ar-SA"/>
        </w:rPr>
        <w:t xml:space="preserve"> </w:t>
      </w:r>
      <w:r w:rsidR="00CB5540" w:rsidRPr="00CB5540">
        <w:rPr>
          <w:rFonts w:eastAsia="Calibri"/>
          <w:i/>
          <w:szCs w:val="22"/>
          <w:lang w:eastAsia="en-AU" w:bidi="ar-SA"/>
        </w:rPr>
        <w:t>leycettana</w:t>
      </w:r>
      <w:r w:rsidR="00CB5540">
        <w:rPr>
          <w:rFonts w:eastAsia="Calibri"/>
          <w:szCs w:val="22"/>
          <w:lang w:eastAsia="en-AU" w:bidi="ar-SA"/>
        </w:rPr>
        <w:t xml:space="preserve"> </w:t>
      </w:r>
      <w:r w:rsidR="00CB5540">
        <w:rPr>
          <w:rFonts w:eastAsia="Calibri"/>
          <w:szCs w:val="22"/>
          <w:lang w:eastAsia="en-AU" w:bidi="ar-SA"/>
        </w:rPr>
        <w:lastRenderedPageBreak/>
        <w:t xml:space="preserve">(basionym </w:t>
      </w:r>
      <w:r w:rsidR="00CB5540" w:rsidRPr="005E0430">
        <w:rPr>
          <w:rFonts w:eastAsia="Calibri"/>
          <w:i/>
          <w:szCs w:val="22"/>
          <w:lang w:eastAsia="en-AU" w:bidi="ar-SA"/>
        </w:rPr>
        <w:t>Talaromyces</w:t>
      </w:r>
      <w:r w:rsidR="00CB5540" w:rsidRPr="005E0430">
        <w:rPr>
          <w:rFonts w:eastAsia="Calibri"/>
          <w:szCs w:val="22"/>
          <w:lang w:eastAsia="en-AU" w:bidi="ar-SA"/>
        </w:rPr>
        <w:t xml:space="preserve"> </w:t>
      </w:r>
      <w:r w:rsidR="00CB5540" w:rsidRPr="005E0430">
        <w:rPr>
          <w:rFonts w:eastAsia="Calibri"/>
          <w:i/>
          <w:szCs w:val="22"/>
          <w:lang w:eastAsia="en-AU" w:bidi="ar-SA"/>
        </w:rPr>
        <w:t>leycettanus</w:t>
      </w:r>
      <w:r w:rsidR="00CB5540">
        <w:rPr>
          <w:rFonts w:eastAsia="Calibri"/>
          <w:szCs w:val="22"/>
          <w:lang w:eastAsia="en-AU" w:bidi="ar-SA"/>
        </w:rPr>
        <w:t>)</w:t>
      </w:r>
      <w:r w:rsidR="00BE1B91">
        <w:rPr>
          <w:rFonts w:eastAsia="Calibri"/>
          <w:szCs w:val="22"/>
          <w:lang w:eastAsia="en-AU" w:bidi="ar-SA"/>
        </w:rPr>
        <w:t xml:space="preserve"> and is referred to in th</w:t>
      </w:r>
      <w:r w:rsidR="0027493C">
        <w:rPr>
          <w:rFonts w:eastAsia="Calibri"/>
          <w:szCs w:val="22"/>
          <w:lang w:eastAsia="en-AU" w:bidi="ar-SA"/>
        </w:rPr>
        <w:t xml:space="preserve">is report </w:t>
      </w:r>
      <w:r w:rsidR="00BE1B91">
        <w:rPr>
          <w:rFonts w:eastAsia="Calibri"/>
          <w:szCs w:val="22"/>
          <w:lang w:eastAsia="en-AU" w:bidi="ar-SA"/>
        </w:rPr>
        <w:t xml:space="preserve">as </w:t>
      </w:r>
      <w:r w:rsidR="009206D0">
        <w:rPr>
          <w:i/>
        </w:rPr>
        <w:t>E.</w:t>
      </w:r>
      <w:r w:rsidR="009206D0">
        <w:t xml:space="preserve"> </w:t>
      </w:r>
      <w:r w:rsidR="009206D0">
        <w:rPr>
          <w:i/>
        </w:rPr>
        <w:t>leycettana</w:t>
      </w:r>
      <w:r w:rsidR="00CB5540">
        <w:rPr>
          <w:rFonts w:eastAsia="Calibri"/>
          <w:szCs w:val="22"/>
          <w:lang w:eastAsia="en-AU" w:bidi="ar-SA"/>
        </w:rPr>
        <w:t>.</w:t>
      </w:r>
      <w:r w:rsidR="00C468F9">
        <w:rPr>
          <w:rStyle w:val="FootnoteReference"/>
          <w:rFonts w:eastAsia="Calibri"/>
          <w:szCs w:val="22"/>
          <w:lang w:eastAsia="en-AU" w:bidi="ar-SA"/>
        </w:rPr>
        <w:footnoteReference w:id="2"/>
      </w:r>
      <w:r w:rsidR="00857432">
        <w:rPr>
          <w:rFonts w:eastAsia="Calibri"/>
          <w:szCs w:val="22"/>
          <w:vertAlign w:val="superscript"/>
          <w:lang w:eastAsia="en-AU" w:bidi="ar-SA"/>
        </w:rPr>
        <w:t xml:space="preserve"> </w:t>
      </w:r>
    </w:p>
    <w:p w14:paraId="53449797" w14:textId="77777777" w:rsidR="008472C0" w:rsidRPr="008472C0" w:rsidRDefault="008472C0" w:rsidP="008472C0">
      <w:pPr>
        <w:keepNext/>
        <w:spacing w:before="240" w:after="240"/>
        <w:outlineLvl w:val="1"/>
        <w:rPr>
          <w:rFonts w:cs="Arial"/>
          <w:b/>
          <w:bCs/>
          <w:sz w:val="28"/>
          <w:szCs w:val="22"/>
          <w:lang w:bidi="ar-SA"/>
        </w:rPr>
      </w:pPr>
      <w:bookmarkStart w:id="111" w:name="_Toc499282443"/>
      <w:bookmarkStart w:id="112" w:name="_Toc505255640"/>
      <w:bookmarkStart w:id="113" w:name="_Toc536543999"/>
      <w:bookmarkStart w:id="114" w:name="_Toc536607134"/>
      <w:bookmarkStart w:id="115" w:name="_Toc30154607"/>
      <w:bookmarkStart w:id="116" w:name="_Toc85204770"/>
      <w:bookmarkStart w:id="117" w:name="_Toc85211332"/>
      <w:bookmarkStart w:id="118" w:name="_Toc87259307"/>
      <w:bookmarkStart w:id="119" w:name="_Toc107223005"/>
      <w:r w:rsidRPr="008472C0">
        <w:rPr>
          <w:rFonts w:cs="Arial"/>
          <w:b/>
          <w:bCs/>
          <w:sz w:val="28"/>
          <w:szCs w:val="22"/>
          <w:lang w:bidi="ar-SA"/>
        </w:rPr>
        <w:t>3.2</w:t>
      </w:r>
      <w:r w:rsidRPr="008472C0">
        <w:rPr>
          <w:rFonts w:cs="Arial"/>
          <w:b/>
          <w:bCs/>
          <w:sz w:val="28"/>
          <w:szCs w:val="22"/>
          <w:lang w:bidi="ar-SA"/>
        </w:rPr>
        <w:tab/>
        <w:t>Characterisation of the genetic modification(s)</w:t>
      </w:r>
      <w:bookmarkEnd w:id="111"/>
      <w:bookmarkEnd w:id="112"/>
      <w:bookmarkEnd w:id="113"/>
      <w:bookmarkEnd w:id="114"/>
      <w:bookmarkEnd w:id="115"/>
      <w:bookmarkEnd w:id="116"/>
      <w:bookmarkEnd w:id="117"/>
      <w:bookmarkEnd w:id="118"/>
      <w:bookmarkEnd w:id="119"/>
    </w:p>
    <w:p w14:paraId="09785BEB" w14:textId="79EDE6B4" w:rsidR="008472C0" w:rsidRDefault="008472C0" w:rsidP="008472C0">
      <w:pPr>
        <w:keepNext/>
        <w:spacing w:before="240" w:after="240"/>
        <w:ind w:left="851" w:hanging="851"/>
        <w:outlineLvl w:val="2"/>
        <w:rPr>
          <w:b/>
          <w:bCs/>
          <w:lang w:eastAsia="en-AU" w:bidi="ar-SA"/>
        </w:rPr>
      </w:pPr>
      <w:bookmarkStart w:id="120" w:name="_Toc85204771"/>
      <w:bookmarkStart w:id="121" w:name="_Toc85211333"/>
      <w:bookmarkStart w:id="122" w:name="_Toc87259308"/>
      <w:bookmarkStart w:id="123" w:name="_Toc107223006"/>
      <w:r w:rsidRPr="008472C0">
        <w:rPr>
          <w:b/>
          <w:bCs/>
          <w:lang w:eastAsia="en-AU" w:bidi="ar-SA"/>
        </w:rPr>
        <w:t>3.2.1</w:t>
      </w:r>
      <w:r w:rsidRPr="008472C0">
        <w:rPr>
          <w:b/>
          <w:bCs/>
          <w:lang w:eastAsia="en-AU" w:bidi="ar-SA"/>
        </w:rPr>
        <w:tab/>
        <w:t>Description of the DNA to be introduced and method of transformation</w:t>
      </w:r>
      <w:bookmarkEnd w:id="120"/>
      <w:bookmarkEnd w:id="121"/>
      <w:bookmarkEnd w:id="122"/>
      <w:bookmarkEnd w:id="123"/>
    </w:p>
    <w:p w14:paraId="3E6DDD62" w14:textId="70F56701" w:rsidR="001C6AA8" w:rsidRPr="001C6AA8" w:rsidRDefault="001C6AA8" w:rsidP="001C6AA8">
      <w:pPr>
        <w:rPr>
          <w:rFonts w:eastAsia="Calibri"/>
          <w:lang w:eastAsia="en-AU" w:bidi="ar-SA"/>
        </w:rPr>
      </w:pPr>
      <w:r w:rsidRPr="3CEA6639">
        <w:rPr>
          <w:rFonts w:eastAsia="Calibri"/>
          <w:lang w:eastAsia="en-AU" w:bidi="ar-SA"/>
        </w:rPr>
        <w:t xml:space="preserve">The gene that encodes the phospholipase A1 gene was synthesised </w:t>
      </w:r>
      <w:r w:rsidRPr="3CEA6639">
        <w:rPr>
          <w:rFonts w:eastAsia="Calibri"/>
          <w:i/>
          <w:iCs/>
          <w:lang w:eastAsia="en-AU" w:bidi="ar-SA"/>
        </w:rPr>
        <w:t>in vitro</w:t>
      </w:r>
      <w:r w:rsidR="583295C5" w:rsidRPr="3CEA6639">
        <w:rPr>
          <w:rFonts w:eastAsia="Calibri"/>
          <w:lang w:eastAsia="en-AU" w:bidi="ar-SA"/>
        </w:rPr>
        <w:t xml:space="preserve"> </w:t>
      </w:r>
      <w:r w:rsidRPr="3CEA6639">
        <w:rPr>
          <w:rFonts w:eastAsia="Calibri"/>
          <w:lang w:eastAsia="en-AU" w:bidi="ar-SA"/>
        </w:rPr>
        <w:t xml:space="preserve">based on the sequence from </w:t>
      </w:r>
      <w:r w:rsidR="009206D0" w:rsidRPr="3CEA6639">
        <w:rPr>
          <w:i/>
          <w:iCs/>
        </w:rPr>
        <w:t>E.</w:t>
      </w:r>
      <w:r w:rsidR="009206D0">
        <w:t xml:space="preserve"> </w:t>
      </w:r>
      <w:r w:rsidR="009206D0" w:rsidRPr="3CEA6639">
        <w:rPr>
          <w:i/>
          <w:iCs/>
        </w:rPr>
        <w:t>leycettana</w:t>
      </w:r>
      <w:r w:rsidR="009206D0">
        <w:t xml:space="preserve"> </w:t>
      </w:r>
      <w:r w:rsidR="009206D0" w:rsidRPr="3CEA6639">
        <w:rPr>
          <w:rFonts w:eastAsia="Calibri"/>
          <w:i/>
          <w:iCs/>
          <w:lang w:eastAsia="en-AU" w:bidi="ar-SA"/>
        </w:rPr>
        <w:t xml:space="preserve"> </w:t>
      </w:r>
      <w:r w:rsidRPr="3CEA6639">
        <w:rPr>
          <w:rFonts w:eastAsia="Calibri"/>
          <w:lang w:eastAsia="en-AU" w:bidi="ar-SA"/>
        </w:rPr>
        <w:t>available in public databases. Data provided by Novozymes and analysed by FSANZ confirmed the expected phospholipase A1 amino acid sequence.</w:t>
      </w:r>
    </w:p>
    <w:p w14:paraId="36B86FC4" w14:textId="1D1EA61F" w:rsidR="001C6AA8" w:rsidRDefault="001C6AA8" w:rsidP="1EE28564">
      <w:pPr>
        <w:rPr>
          <w:rFonts w:eastAsia="Calibri"/>
          <w:lang w:bidi="ar-SA"/>
        </w:rPr>
      </w:pPr>
      <w:r w:rsidRPr="3CEA6639">
        <w:rPr>
          <w:rFonts w:eastAsia="Calibri"/>
          <w:lang w:eastAsia="en-AU" w:bidi="ar-SA"/>
        </w:rPr>
        <w:t>The phospholipase A1 gene was introduced</w:t>
      </w:r>
      <w:r w:rsidRPr="3CEA6639">
        <w:rPr>
          <w:rFonts w:eastAsia="Calibri"/>
          <w:lang w:bidi="ar-SA"/>
        </w:rPr>
        <w:t xml:space="preserve"> into the genome of the host strain, </w:t>
      </w:r>
      <w:r w:rsidRPr="3CEA6639">
        <w:rPr>
          <w:rFonts w:eastAsia="Calibri"/>
          <w:i/>
          <w:iCs/>
          <w:lang w:bidi="ar-SA"/>
        </w:rPr>
        <w:t>A. niger</w:t>
      </w:r>
      <w:r w:rsidRPr="3CEA6639">
        <w:rPr>
          <w:rFonts w:eastAsia="Calibri"/>
          <w:lang w:bidi="ar-SA"/>
        </w:rPr>
        <w:t xml:space="preserve"> and plac</w:t>
      </w:r>
      <w:r w:rsidR="00637835" w:rsidRPr="3CEA6639">
        <w:rPr>
          <w:rFonts w:eastAsia="Calibri"/>
          <w:lang w:bidi="ar-SA"/>
        </w:rPr>
        <w:t xml:space="preserve">ed under the control of a hybrid </w:t>
      </w:r>
      <w:r w:rsidR="00C60F66" w:rsidRPr="3CEA6639">
        <w:rPr>
          <w:rFonts w:eastAsia="Calibri"/>
          <w:i/>
          <w:iCs/>
          <w:lang w:bidi="ar-SA"/>
        </w:rPr>
        <w:t>Aspergillus</w:t>
      </w:r>
      <w:r w:rsidR="00C60F66" w:rsidRPr="3CEA6639">
        <w:rPr>
          <w:rFonts w:eastAsia="Calibri"/>
          <w:lang w:bidi="ar-SA"/>
        </w:rPr>
        <w:t xml:space="preserve"> </w:t>
      </w:r>
      <w:r w:rsidRPr="3CEA6639">
        <w:rPr>
          <w:rFonts w:eastAsia="Calibri"/>
          <w:lang w:bidi="ar-SA"/>
        </w:rPr>
        <w:t>promoter</w:t>
      </w:r>
      <w:r w:rsidR="00C60F66" w:rsidRPr="3CEA6639">
        <w:rPr>
          <w:rFonts w:eastAsia="Calibri"/>
          <w:lang w:bidi="ar-SA"/>
        </w:rPr>
        <w:t xml:space="preserve">, a terminator from </w:t>
      </w:r>
      <w:r w:rsidR="00C60F66" w:rsidRPr="3CEA6639">
        <w:rPr>
          <w:rFonts w:eastAsia="Calibri"/>
          <w:i/>
          <w:iCs/>
          <w:lang w:bidi="ar-SA"/>
        </w:rPr>
        <w:t>A. niger</w:t>
      </w:r>
      <w:r w:rsidR="00C60F66" w:rsidRPr="3CEA6639">
        <w:rPr>
          <w:rFonts w:eastAsia="Calibri"/>
          <w:lang w:bidi="ar-SA"/>
        </w:rPr>
        <w:t xml:space="preserve"> and</w:t>
      </w:r>
      <w:r w:rsidR="009C737E" w:rsidRPr="3CEA6639">
        <w:rPr>
          <w:rFonts w:eastAsia="Calibri"/>
          <w:lang w:bidi="ar-SA"/>
        </w:rPr>
        <w:t xml:space="preserve"> </w:t>
      </w:r>
      <w:r w:rsidR="00637835" w:rsidRPr="3CEA6639">
        <w:rPr>
          <w:rFonts w:eastAsia="Calibri"/>
          <w:lang w:bidi="ar-SA"/>
        </w:rPr>
        <w:t xml:space="preserve">a leader sequence from a native gene from </w:t>
      </w:r>
      <w:r w:rsidR="00637835" w:rsidRPr="3CEA6639">
        <w:rPr>
          <w:rFonts w:eastAsia="Calibri"/>
          <w:i/>
          <w:iCs/>
          <w:lang w:bidi="ar-SA"/>
        </w:rPr>
        <w:t>A.</w:t>
      </w:r>
      <w:r w:rsidR="00087231" w:rsidRPr="3CEA6639">
        <w:rPr>
          <w:rFonts w:eastAsia="Calibri"/>
          <w:i/>
          <w:iCs/>
          <w:lang w:bidi="ar-SA"/>
        </w:rPr>
        <w:t xml:space="preserve"> </w:t>
      </w:r>
      <w:r w:rsidR="00637835" w:rsidRPr="3CEA6639">
        <w:rPr>
          <w:rFonts w:eastAsia="Calibri"/>
          <w:i/>
          <w:iCs/>
          <w:lang w:bidi="ar-SA"/>
        </w:rPr>
        <w:t>niger</w:t>
      </w:r>
      <w:r w:rsidRPr="3CEA6639">
        <w:rPr>
          <w:rFonts w:eastAsia="Calibri"/>
          <w:lang w:bidi="ar-SA"/>
        </w:rPr>
        <w:t xml:space="preserve">. The </w:t>
      </w:r>
      <w:r w:rsidRPr="3CEA6639">
        <w:rPr>
          <w:rFonts w:eastAsia="Calibri"/>
          <w:i/>
          <w:iCs/>
          <w:lang w:bidi="ar-SA"/>
        </w:rPr>
        <w:t>amdS</w:t>
      </w:r>
      <w:r w:rsidRPr="3CEA6639">
        <w:rPr>
          <w:rFonts w:eastAsia="Calibri"/>
          <w:lang w:bidi="ar-SA"/>
        </w:rPr>
        <w:t xml:space="preserve"> gene from </w:t>
      </w:r>
      <w:r w:rsidRPr="3CEA6639">
        <w:rPr>
          <w:rFonts w:eastAsia="Calibri"/>
          <w:i/>
          <w:iCs/>
          <w:lang w:bidi="ar-SA"/>
        </w:rPr>
        <w:t>A</w:t>
      </w:r>
      <w:r w:rsidR="00087231" w:rsidRPr="3CEA6639">
        <w:rPr>
          <w:rFonts w:eastAsia="Calibri"/>
          <w:i/>
          <w:iCs/>
          <w:lang w:bidi="ar-SA"/>
        </w:rPr>
        <w:t>.</w:t>
      </w:r>
      <w:r w:rsidRPr="3CEA6639">
        <w:rPr>
          <w:rFonts w:eastAsia="Calibri"/>
          <w:i/>
          <w:iCs/>
          <w:lang w:bidi="ar-SA"/>
        </w:rPr>
        <w:t xml:space="preserve"> nidulans</w:t>
      </w:r>
      <w:r w:rsidRPr="3CEA6639">
        <w:rPr>
          <w:rFonts w:eastAsia="Calibri"/>
          <w:lang w:bidi="ar-SA"/>
        </w:rPr>
        <w:t xml:space="preserve"> (Corrick et al. 1987) was used a</w:t>
      </w:r>
      <w:r w:rsidR="00087231" w:rsidRPr="3CEA6639">
        <w:rPr>
          <w:rFonts w:eastAsia="Calibri"/>
          <w:lang w:bidi="ar-SA"/>
        </w:rPr>
        <w:t>s a</w:t>
      </w:r>
      <w:r w:rsidRPr="3CEA6639">
        <w:rPr>
          <w:rFonts w:eastAsia="Calibri"/>
          <w:lang w:bidi="ar-SA"/>
        </w:rPr>
        <w:t xml:space="preserve"> selective marker enabling the selection of positive transformants by growth on media supplemented with nitrogen (Kelly and Hynes, 1985). The phospholipase A1 gene was integrated at specific integration sites in the host’s genome. The final production strain was selected based </w:t>
      </w:r>
      <w:r w:rsidR="0050662F" w:rsidRPr="3CEA6639">
        <w:rPr>
          <w:rFonts w:eastAsia="Calibri"/>
          <w:lang w:bidi="ar-SA"/>
        </w:rPr>
        <w:t>on</w:t>
      </w:r>
      <w:r w:rsidRPr="3CEA6639">
        <w:rPr>
          <w:rFonts w:eastAsia="Calibri"/>
          <w:lang w:bidi="ar-SA"/>
        </w:rPr>
        <w:t xml:space="preserve"> growth on medium containing nitrogen and high phospholipase A1 activity.</w:t>
      </w:r>
    </w:p>
    <w:p w14:paraId="696AF49A" w14:textId="3AFF578C" w:rsidR="008472C0" w:rsidRDefault="008472C0" w:rsidP="008472C0">
      <w:pPr>
        <w:keepNext/>
        <w:spacing w:before="240" w:after="240"/>
        <w:ind w:left="851" w:hanging="851"/>
        <w:outlineLvl w:val="2"/>
        <w:rPr>
          <w:b/>
          <w:bCs/>
          <w:lang w:eastAsia="en-AU" w:bidi="ar-SA"/>
        </w:rPr>
      </w:pPr>
      <w:bookmarkStart w:id="124" w:name="_Toc85204772"/>
      <w:bookmarkStart w:id="125" w:name="_Toc85211334"/>
      <w:bookmarkStart w:id="126" w:name="_Toc87259309"/>
      <w:bookmarkStart w:id="127" w:name="_Toc107223007"/>
      <w:r w:rsidRPr="008472C0">
        <w:rPr>
          <w:b/>
          <w:bCs/>
          <w:lang w:eastAsia="en-AU" w:bidi="ar-SA"/>
        </w:rPr>
        <w:t>3.2.2</w:t>
      </w:r>
      <w:r w:rsidRPr="008472C0">
        <w:rPr>
          <w:b/>
          <w:bCs/>
          <w:lang w:eastAsia="en-AU" w:bidi="ar-SA"/>
        </w:rPr>
        <w:tab/>
        <w:t>Characterisation of inserted DNA</w:t>
      </w:r>
      <w:bookmarkEnd w:id="124"/>
      <w:bookmarkEnd w:id="125"/>
      <w:bookmarkEnd w:id="126"/>
      <w:bookmarkEnd w:id="127"/>
    </w:p>
    <w:p w14:paraId="70CE692D" w14:textId="0F01B2F1" w:rsidR="001C6AA8" w:rsidRDefault="001C6AA8" w:rsidP="001C6AA8">
      <w:pPr>
        <w:rPr>
          <w:rFonts w:eastAsia="Calibri"/>
          <w:szCs w:val="22"/>
          <w:lang w:bidi="ar-SA"/>
        </w:rPr>
      </w:pPr>
      <w:r w:rsidRPr="001C6AA8">
        <w:rPr>
          <w:rFonts w:eastAsia="Calibri"/>
          <w:szCs w:val="22"/>
          <w:lang w:bidi="ar-SA"/>
        </w:rPr>
        <w:t xml:space="preserve">Data provided by Novozymes confirmed the presence of the inserted DNA in the production strain. The applicant also provided the results of genome sequencing which confirmed the absence of antibiotic resistance genes in the production strain. </w:t>
      </w:r>
    </w:p>
    <w:p w14:paraId="4736948E" w14:textId="75759377" w:rsidR="008472C0" w:rsidRDefault="008472C0" w:rsidP="008472C0">
      <w:pPr>
        <w:keepNext/>
        <w:spacing w:before="240" w:after="240"/>
        <w:ind w:left="851" w:hanging="851"/>
        <w:outlineLvl w:val="2"/>
        <w:rPr>
          <w:b/>
          <w:bCs/>
          <w:lang w:eastAsia="en-AU" w:bidi="ar-SA"/>
        </w:rPr>
      </w:pPr>
      <w:bookmarkStart w:id="128" w:name="_Toc85204773"/>
      <w:bookmarkStart w:id="129" w:name="_Toc85211335"/>
      <w:bookmarkStart w:id="130" w:name="_Toc87259310"/>
      <w:bookmarkStart w:id="131" w:name="_Toc107223008"/>
      <w:r w:rsidRPr="008472C0">
        <w:rPr>
          <w:b/>
          <w:bCs/>
          <w:lang w:eastAsia="en-AU" w:bidi="ar-SA"/>
        </w:rPr>
        <w:t>3.2.3</w:t>
      </w:r>
      <w:r w:rsidRPr="008472C0">
        <w:rPr>
          <w:b/>
          <w:bCs/>
          <w:lang w:eastAsia="en-AU" w:bidi="ar-SA"/>
        </w:rPr>
        <w:tab/>
        <w:t>Genetic stability of the inserted gene</w:t>
      </w:r>
      <w:bookmarkEnd w:id="128"/>
      <w:bookmarkEnd w:id="129"/>
      <w:bookmarkEnd w:id="130"/>
      <w:bookmarkEnd w:id="131"/>
    </w:p>
    <w:p w14:paraId="5AE06A64" w14:textId="651E9129" w:rsidR="001C6AA8" w:rsidRPr="001C6AA8" w:rsidRDefault="001C6AA8" w:rsidP="00D21894">
      <w:pPr>
        <w:rPr>
          <w:rFonts w:eastAsia="Calibri"/>
          <w:szCs w:val="22"/>
          <w:lang w:bidi="ar-SA"/>
        </w:rPr>
      </w:pPr>
      <w:r w:rsidRPr="001C6AA8">
        <w:rPr>
          <w:rFonts w:eastAsia="Calibri"/>
          <w:szCs w:val="22"/>
          <w:lang w:bidi="ar-SA"/>
        </w:rPr>
        <w:t xml:space="preserve">The assessment confirmed the inserted gene is integrated into the genome of the production strain and does not have the ability to replicate autonomously. The inserted gene is therefore considered to be genetically stable. </w:t>
      </w:r>
    </w:p>
    <w:p w14:paraId="3AA744D3" w14:textId="7E159B6C" w:rsidR="001C6AA8" w:rsidRDefault="001C6AA8" w:rsidP="325F7146">
      <w:pPr>
        <w:rPr>
          <w:rFonts w:eastAsia="Calibri"/>
          <w:lang w:bidi="ar-SA"/>
        </w:rPr>
      </w:pPr>
      <w:r w:rsidRPr="1EE28564">
        <w:rPr>
          <w:rFonts w:eastAsia="Calibri"/>
          <w:lang w:bidi="ar-SA"/>
        </w:rPr>
        <w:t>To provide further evidence of the stability of the introduced phospholipase A1 gene, the applicant provided phenotypic data from large-scale fermentation of the production strain. These data confirmed that the phospholipase A1 gene is expressed over multiple generations and is stable.</w:t>
      </w:r>
    </w:p>
    <w:p w14:paraId="13EDF8E9" w14:textId="77777777" w:rsidR="008472C0" w:rsidRPr="008472C0" w:rsidRDefault="008472C0" w:rsidP="008472C0">
      <w:pPr>
        <w:keepNext/>
        <w:spacing w:before="240" w:after="240"/>
        <w:outlineLvl w:val="1"/>
        <w:rPr>
          <w:rFonts w:cs="Arial"/>
          <w:b/>
          <w:bCs/>
          <w:sz w:val="28"/>
          <w:szCs w:val="22"/>
          <w:lang w:bidi="ar-SA"/>
        </w:rPr>
      </w:pPr>
      <w:bookmarkStart w:id="132" w:name="_Toc30154611"/>
      <w:bookmarkStart w:id="133" w:name="_Toc85204774"/>
      <w:bookmarkStart w:id="134" w:name="_Toc85211336"/>
      <w:bookmarkStart w:id="135" w:name="_Toc87259311"/>
      <w:bookmarkStart w:id="136" w:name="_Toc107223009"/>
      <w:r w:rsidRPr="008472C0">
        <w:rPr>
          <w:rFonts w:cs="Arial"/>
          <w:b/>
          <w:bCs/>
          <w:sz w:val="28"/>
          <w:szCs w:val="22"/>
          <w:lang w:bidi="ar-SA"/>
        </w:rPr>
        <w:t>3.3</w:t>
      </w:r>
      <w:r w:rsidRPr="008472C0">
        <w:rPr>
          <w:rFonts w:cs="Arial"/>
          <w:b/>
          <w:bCs/>
          <w:sz w:val="28"/>
          <w:szCs w:val="22"/>
          <w:lang w:bidi="ar-SA"/>
        </w:rPr>
        <w:tab/>
        <w:t xml:space="preserve">Safety of </w:t>
      </w:r>
      <w:bookmarkEnd w:id="132"/>
      <w:bookmarkEnd w:id="133"/>
      <w:bookmarkEnd w:id="134"/>
      <w:bookmarkEnd w:id="135"/>
      <w:r w:rsidRPr="008472C0">
        <w:rPr>
          <w:rFonts w:cs="Arial"/>
          <w:b/>
          <w:bCs/>
          <w:sz w:val="28"/>
          <w:szCs w:val="22"/>
          <w:lang w:bidi="ar-SA"/>
        </w:rPr>
        <w:t>the enzyme</w:t>
      </w:r>
      <w:bookmarkEnd w:id="136"/>
    </w:p>
    <w:p w14:paraId="2B72B6A5" w14:textId="251C9190" w:rsidR="008472C0" w:rsidRDefault="008472C0" w:rsidP="008472C0">
      <w:pPr>
        <w:keepNext/>
        <w:spacing w:before="240" w:after="240"/>
        <w:ind w:left="851" w:hanging="851"/>
        <w:outlineLvl w:val="2"/>
        <w:rPr>
          <w:b/>
          <w:bCs/>
          <w:lang w:eastAsia="en-AU" w:bidi="ar-SA"/>
        </w:rPr>
      </w:pPr>
      <w:bookmarkStart w:id="137" w:name="_Toc536544004"/>
      <w:bookmarkStart w:id="138" w:name="_Toc536607139"/>
      <w:bookmarkStart w:id="139" w:name="_Toc30154612"/>
      <w:bookmarkStart w:id="140" w:name="_Toc85204775"/>
      <w:bookmarkStart w:id="141" w:name="_Toc85211337"/>
      <w:bookmarkStart w:id="142" w:name="_Toc87259312"/>
      <w:bookmarkStart w:id="143" w:name="_Toc107223010"/>
      <w:r w:rsidRPr="008472C0">
        <w:rPr>
          <w:b/>
          <w:bCs/>
          <w:lang w:eastAsia="en-AU" w:bidi="ar-SA"/>
        </w:rPr>
        <w:t>3.3.1</w:t>
      </w:r>
      <w:r w:rsidRPr="008472C0">
        <w:rPr>
          <w:b/>
          <w:bCs/>
          <w:lang w:eastAsia="en-AU" w:bidi="ar-SA"/>
        </w:rPr>
        <w:tab/>
        <w:t>History of safe use</w:t>
      </w:r>
      <w:bookmarkEnd w:id="137"/>
      <w:bookmarkEnd w:id="138"/>
      <w:bookmarkEnd w:id="139"/>
      <w:bookmarkEnd w:id="140"/>
      <w:bookmarkEnd w:id="141"/>
      <w:bookmarkEnd w:id="142"/>
      <w:bookmarkEnd w:id="143"/>
    </w:p>
    <w:p w14:paraId="210B061E" w14:textId="5A0E105B" w:rsidR="00AB2036" w:rsidRPr="00585A43" w:rsidRDefault="00AB2036" w:rsidP="0033393C">
      <w:pPr>
        <w:spacing w:before="240" w:after="240"/>
        <w:rPr>
          <w:lang w:eastAsia="en-AU" w:bidi="ar-SA"/>
        </w:rPr>
      </w:pPr>
      <w:bookmarkStart w:id="144" w:name="_Toc67559444"/>
      <w:bookmarkStart w:id="145" w:name="_Toc85204776"/>
      <w:bookmarkStart w:id="146" w:name="_Toc85211338"/>
      <w:bookmarkStart w:id="147" w:name="_Toc87259313"/>
      <w:bookmarkStart w:id="148" w:name="_Toc67559445"/>
      <w:r w:rsidRPr="633F84AC">
        <w:rPr>
          <w:lang w:eastAsia="en-AU" w:bidi="ar-SA"/>
        </w:rPr>
        <w:t xml:space="preserve">The enzyme has been approved for use in Denmark and France since 2018, </w:t>
      </w:r>
      <w:r w:rsidR="00BF6BD9" w:rsidRPr="633F84AC">
        <w:rPr>
          <w:lang w:eastAsia="en-AU" w:bidi="ar-SA"/>
        </w:rPr>
        <w:t xml:space="preserve">and </w:t>
      </w:r>
      <w:r w:rsidRPr="633F84AC">
        <w:rPr>
          <w:lang w:eastAsia="en-AU" w:bidi="ar-SA"/>
        </w:rPr>
        <w:t xml:space="preserve">Brazil </w:t>
      </w:r>
      <w:r w:rsidR="00BF6BD9" w:rsidRPr="633F84AC">
        <w:rPr>
          <w:lang w:eastAsia="en-AU" w:bidi="ar-SA"/>
        </w:rPr>
        <w:t>and Mexico since</w:t>
      </w:r>
      <w:r w:rsidRPr="633F84AC">
        <w:rPr>
          <w:lang w:eastAsia="en-AU" w:bidi="ar-SA"/>
        </w:rPr>
        <w:t xml:space="preserve"> 2019. Confidential sales volume data were provided by the </w:t>
      </w:r>
      <w:r w:rsidRPr="633F84AC">
        <w:rPr>
          <w:lang w:eastAsia="en-AU" w:bidi="ar-SA"/>
        </w:rPr>
        <w:lastRenderedPageBreak/>
        <w:t xml:space="preserve">applicant to confirm that it has been sold for commercial use in </w:t>
      </w:r>
      <w:r w:rsidR="00585A43" w:rsidRPr="633F84AC">
        <w:rPr>
          <w:lang w:eastAsia="en-AU" w:bidi="ar-SA"/>
        </w:rPr>
        <w:t>countries in which specific approval is not required</w:t>
      </w:r>
      <w:r w:rsidRPr="633F84AC">
        <w:rPr>
          <w:lang w:eastAsia="en-AU" w:bidi="ar-SA"/>
        </w:rPr>
        <w:t>.</w:t>
      </w:r>
    </w:p>
    <w:p w14:paraId="6AD5B407" w14:textId="76D4975E" w:rsidR="008472C0" w:rsidRDefault="008472C0" w:rsidP="008472C0">
      <w:pPr>
        <w:keepNext/>
        <w:spacing w:before="240" w:after="240"/>
        <w:ind w:left="851" w:hanging="851"/>
        <w:outlineLvl w:val="2"/>
        <w:rPr>
          <w:b/>
          <w:bCs/>
          <w:lang w:eastAsia="en-AU" w:bidi="ar-SA"/>
        </w:rPr>
      </w:pPr>
      <w:bookmarkStart w:id="149" w:name="_Toc107223011"/>
      <w:r w:rsidRPr="008472C0">
        <w:rPr>
          <w:b/>
          <w:bCs/>
          <w:lang w:eastAsia="en-AU" w:bidi="ar-SA"/>
        </w:rPr>
        <w:t>3.3.2</w:t>
      </w:r>
      <w:r w:rsidRPr="008472C0">
        <w:rPr>
          <w:b/>
          <w:bCs/>
          <w:lang w:eastAsia="en-AU" w:bidi="ar-SA"/>
        </w:rPr>
        <w:tab/>
        <w:t>Bioinformatics concerning potential for toxicity</w:t>
      </w:r>
      <w:bookmarkEnd w:id="144"/>
      <w:bookmarkEnd w:id="145"/>
      <w:bookmarkEnd w:id="146"/>
      <w:bookmarkEnd w:id="147"/>
      <w:bookmarkEnd w:id="149"/>
      <w:r w:rsidRPr="008472C0">
        <w:rPr>
          <w:b/>
          <w:bCs/>
          <w:lang w:eastAsia="en-AU" w:bidi="ar-SA"/>
        </w:rPr>
        <w:t xml:space="preserve"> </w:t>
      </w:r>
    </w:p>
    <w:p w14:paraId="308C4EA1" w14:textId="36102487" w:rsidR="00585A43" w:rsidRPr="00585A43" w:rsidRDefault="00585A43" w:rsidP="0033393C">
      <w:pPr>
        <w:spacing w:before="240" w:after="240"/>
        <w:rPr>
          <w:lang w:eastAsia="en-AU" w:bidi="ar-SA"/>
        </w:rPr>
      </w:pPr>
      <w:r w:rsidRPr="3CEA6639">
        <w:rPr>
          <w:lang w:eastAsia="en-AU" w:bidi="ar-SA"/>
        </w:rPr>
        <w:t>A recent (2020) sequence homology assessment of the phospholipase A1 to known toxins was conducted. Amino acid sequences of known protein toxins were extracted from UniProt</w:t>
      </w:r>
      <w:r w:rsidRPr="3CEA6639">
        <w:rPr>
          <w:rStyle w:val="FootnoteReference"/>
          <w:lang w:eastAsia="en-AU" w:bidi="ar-SA"/>
        </w:rPr>
        <w:footnoteReference w:id="3"/>
      </w:r>
      <w:r w:rsidRPr="3CEA6639">
        <w:rPr>
          <w:lang w:eastAsia="en-AU" w:bidi="ar-SA"/>
        </w:rPr>
        <w:t>. Each of the 275426 entries was placed in its own fasta file, and the sequence of the phospholipase A1 was also placed in its own fasta file. The sequence alignment program ClustalW 2.0.10 was used to align each sequence to the phospholipase A1. A summary file containing the length of each sequence and number of identical residues was also created. From this, the identity percentage to the phospholipase A1 sequence or the compared toxin sequence was calculated, whichever was longest. This approach was chosen because the toxin sequences have many different lengths, both much shorter and much longer than that of the phospholipase A1. By always using the longest sequence, artificial high scores from very short or very long toxins are avoided. The largest homology encountered was 19.3%, indicating that the homology to any toxin sequence in this database is random and very low.</w:t>
      </w:r>
    </w:p>
    <w:p w14:paraId="23685373" w14:textId="5F48C438" w:rsidR="008472C0" w:rsidRPr="008472C0" w:rsidRDefault="008472C0" w:rsidP="008472C0">
      <w:pPr>
        <w:keepNext/>
        <w:spacing w:before="240" w:after="240"/>
        <w:ind w:left="851" w:hanging="851"/>
        <w:outlineLvl w:val="2"/>
        <w:rPr>
          <w:b/>
          <w:bCs/>
          <w:lang w:eastAsia="en-AU" w:bidi="ar-SA"/>
        </w:rPr>
      </w:pPr>
      <w:bookmarkStart w:id="150" w:name="_Toc85204777"/>
      <w:bookmarkStart w:id="151" w:name="_Toc85211339"/>
      <w:bookmarkStart w:id="152" w:name="_Toc87259314"/>
      <w:bookmarkStart w:id="153" w:name="_Toc107223012"/>
      <w:r w:rsidRPr="0033393C">
        <w:rPr>
          <w:b/>
          <w:bCs/>
          <w:lang w:eastAsia="en-AU" w:bidi="ar-SA"/>
        </w:rPr>
        <w:t>3.3.3</w:t>
      </w:r>
      <w:r>
        <w:tab/>
      </w:r>
      <w:bookmarkEnd w:id="148"/>
      <w:bookmarkEnd w:id="150"/>
      <w:bookmarkEnd w:id="151"/>
      <w:bookmarkEnd w:id="152"/>
      <w:r w:rsidRPr="0033393C">
        <w:rPr>
          <w:b/>
          <w:bCs/>
          <w:lang w:eastAsia="en-AU" w:bidi="ar-SA"/>
        </w:rPr>
        <w:t>Toxicity studies</w:t>
      </w:r>
      <w:bookmarkEnd w:id="153"/>
    </w:p>
    <w:p w14:paraId="07382DC9" w14:textId="04DC5F88" w:rsidR="00B51F78" w:rsidRPr="00B51F78" w:rsidRDefault="00B51F78" w:rsidP="00B51F78">
      <w:pPr>
        <w:rPr>
          <w:lang w:val="en-US" w:bidi="ar-SA"/>
        </w:rPr>
      </w:pPr>
      <w:r w:rsidRPr="3CEA6639">
        <w:rPr>
          <w:lang w:eastAsia="en-AU" w:bidi="ar-SA"/>
        </w:rPr>
        <w:t xml:space="preserve">All the submitted toxicity studies provided were </w:t>
      </w:r>
      <w:r w:rsidRPr="3CEA6639">
        <w:rPr>
          <w:lang w:val="en-US" w:bidi="ar-SA"/>
        </w:rPr>
        <w:t>conducted using a batch of the phospholipase A1</w:t>
      </w:r>
      <w:r w:rsidR="003F3459" w:rsidRPr="3CEA6639">
        <w:rPr>
          <w:lang w:val="en-US" w:bidi="ar-SA"/>
        </w:rPr>
        <w:t xml:space="preserve"> enzyme concentrate</w:t>
      </w:r>
      <w:r w:rsidRPr="3CEA6639">
        <w:rPr>
          <w:lang w:val="en-US" w:bidi="ar-SA"/>
        </w:rPr>
        <w:t xml:space="preserve"> synthesized in the same way as the commercial product, but without stabilization or standardization for commercial sale.</w:t>
      </w:r>
    </w:p>
    <w:p w14:paraId="772B2832" w14:textId="06884E9A" w:rsidR="008472C0" w:rsidRPr="008472C0" w:rsidRDefault="008472C0" w:rsidP="008472C0">
      <w:pPr>
        <w:rPr>
          <w:b/>
          <w:i/>
          <w:lang w:eastAsia="en-AU" w:bidi="ar-SA"/>
        </w:rPr>
      </w:pPr>
      <w:r>
        <w:rPr>
          <w:b/>
          <w:i/>
          <w:lang w:eastAsia="en-AU" w:bidi="ar-SA"/>
        </w:rPr>
        <w:t xml:space="preserve">3.3.3.1 </w:t>
      </w:r>
      <w:r w:rsidRPr="008472C0">
        <w:rPr>
          <w:b/>
          <w:i/>
          <w:lang w:eastAsia="en-AU" w:bidi="ar-SA"/>
        </w:rPr>
        <w:t>Animal Studies</w:t>
      </w:r>
    </w:p>
    <w:p w14:paraId="48534B83" w14:textId="21A4D8BE" w:rsidR="00B51F78" w:rsidRPr="00EF71BA" w:rsidRDefault="00B51F78" w:rsidP="00B51F78">
      <w:pPr>
        <w:rPr>
          <w:i/>
          <w:lang w:eastAsia="en-AU" w:bidi="ar-SA"/>
        </w:rPr>
      </w:pPr>
      <w:r w:rsidRPr="00EF71BA">
        <w:rPr>
          <w:i/>
          <w:lang w:eastAsia="en-AU" w:bidi="ar-SA"/>
        </w:rPr>
        <w:t xml:space="preserve">90-day repeat-dose oral gavage study of </w:t>
      </w:r>
      <w:r w:rsidR="00EF71BA" w:rsidRPr="00EF71BA">
        <w:rPr>
          <w:i/>
          <w:lang w:eastAsia="en-AU" w:bidi="ar-SA"/>
        </w:rPr>
        <w:t>phospholipase A1</w:t>
      </w:r>
      <w:r w:rsidRPr="00EF71BA">
        <w:rPr>
          <w:i/>
          <w:lang w:eastAsia="en-AU" w:bidi="ar-SA"/>
        </w:rPr>
        <w:t xml:space="preserve"> in </w:t>
      </w:r>
      <w:r w:rsidR="00EF71BA" w:rsidRPr="00EF71BA">
        <w:rPr>
          <w:i/>
          <w:lang w:eastAsia="en-AU" w:bidi="ar-SA"/>
        </w:rPr>
        <w:t>Han Wistar</w:t>
      </w:r>
      <w:r w:rsidRPr="00EF71BA">
        <w:rPr>
          <w:i/>
          <w:lang w:eastAsia="en-AU" w:bidi="ar-SA"/>
        </w:rPr>
        <w:t xml:space="preserve"> rats (</w:t>
      </w:r>
      <w:r w:rsidR="00EF71BA" w:rsidRPr="00EF71BA">
        <w:rPr>
          <w:i/>
          <w:lang w:eastAsia="en-AU" w:bidi="ar-SA"/>
        </w:rPr>
        <w:t>Cooper</w:t>
      </w:r>
      <w:r w:rsidRPr="00EF71BA">
        <w:rPr>
          <w:i/>
          <w:lang w:eastAsia="en-AU" w:bidi="ar-SA"/>
        </w:rPr>
        <w:t xml:space="preserve"> et al 201</w:t>
      </w:r>
      <w:r w:rsidR="00EF71BA" w:rsidRPr="00EF71BA">
        <w:rPr>
          <w:i/>
          <w:lang w:eastAsia="en-AU" w:bidi="ar-SA"/>
        </w:rPr>
        <w:t>6</w:t>
      </w:r>
      <w:r w:rsidRPr="00EF71BA">
        <w:rPr>
          <w:i/>
          <w:lang w:eastAsia="en-AU" w:bidi="ar-SA"/>
        </w:rPr>
        <w:t>; unpublished study). Regulatory status: GLP; in general accordance with OECD test guideline 408</w:t>
      </w:r>
    </w:p>
    <w:p w14:paraId="0794613F" w14:textId="4370493B" w:rsidR="00B51F78" w:rsidRPr="0061499F" w:rsidRDefault="00B51F78" w:rsidP="00B51F78">
      <w:pPr>
        <w:rPr>
          <w:lang w:eastAsia="en-AU" w:bidi="ar-SA"/>
        </w:rPr>
      </w:pPr>
      <w:r w:rsidRPr="00EF71BA">
        <w:rPr>
          <w:lang w:eastAsia="en-AU" w:bidi="ar-SA"/>
        </w:rPr>
        <w:t>The vehicle and control article for this study was reverse osmosis water</w:t>
      </w:r>
      <w:r w:rsidR="00EF71BA">
        <w:rPr>
          <w:lang w:eastAsia="en-AU" w:bidi="ar-SA"/>
        </w:rPr>
        <w:t>, in which the test article was completely miscible</w:t>
      </w:r>
      <w:r w:rsidRPr="00EF71BA">
        <w:rPr>
          <w:lang w:eastAsia="en-AU" w:bidi="ar-SA"/>
        </w:rPr>
        <w:t>. The highest dose used was undiluted enzyme concentrate,</w:t>
      </w:r>
      <w:r w:rsidR="00EF71BA">
        <w:rPr>
          <w:lang w:eastAsia="en-AU" w:bidi="ar-SA"/>
        </w:rPr>
        <w:t xml:space="preserve"> 1356 </w:t>
      </w:r>
      <w:r w:rsidR="00EF71BA" w:rsidRPr="00EF71BA">
        <w:rPr>
          <w:lang w:eastAsia="en-AU" w:bidi="ar-SA"/>
        </w:rPr>
        <w:t>mg</w:t>
      </w:r>
      <w:r w:rsidRPr="00EF71BA">
        <w:rPr>
          <w:lang w:eastAsia="en-AU" w:bidi="ar-SA"/>
        </w:rPr>
        <w:t xml:space="preserve"> TOS/kg bw/day. Low and middle doses were </w:t>
      </w:r>
      <w:r w:rsidR="00EF71BA" w:rsidRPr="00EF71BA">
        <w:rPr>
          <w:lang w:eastAsia="en-AU" w:bidi="ar-SA"/>
        </w:rPr>
        <w:t xml:space="preserve">136 </w:t>
      </w:r>
      <w:r w:rsidRPr="00EF71BA">
        <w:rPr>
          <w:lang w:eastAsia="en-AU" w:bidi="ar-SA"/>
        </w:rPr>
        <w:t xml:space="preserve">and </w:t>
      </w:r>
      <w:r w:rsidR="00EF71BA" w:rsidRPr="00EF71BA">
        <w:rPr>
          <w:lang w:eastAsia="en-AU" w:bidi="ar-SA"/>
        </w:rPr>
        <w:t>447</w:t>
      </w:r>
      <w:r w:rsidRPr="00EF71BA">
        <w:rPr>
          <w:lang w:eastAsia="en-AU" w:bidi="ar-SA"/>
        </w:rPr>
        <w:t xml:space="preserve"> </w:t>
      </w:r>
      <w:r w:rsidR="00EF71BA" w:rsidRPr="00EF71BA">
        <w:rPr>
          <w:lang w:eastAsia="en-AU" w:bidi="ar-SA"/>
        </w:rPr>
        <w:t>m</w:t>
      </w:r>
      <w:r w:rsidRPr="00EF71BA">
        <w:rPr>
          <w:lang w:eastAsia="en-AU" w:bidi="ar-SA"/>
        </w:rPr>
        <w:t xml:space="preserve">g TOS/kg bw/day respectively. </w:t>
      </w:r>
      <w:r w:rsidRPr="0061499F">
        <w:rPr>
          <w:lang w:eastAsia="en-AU" w:bidi="ar-SA"/>
        </w:rPr>
        <w:t xml:space="preserve">Dose formulations were sampled for enzyme concentration in Weeks 1, 6 and 13 of the in-life phase. Rats were received at 42 to 48 days old, and acclimatized for </w:t>
      </w:r>
      <w:r w:rsidR="0061499F" w:rsidRPr="0061499F">
        <w:rPr>
          <w:lang w:eastAsia="en-AU" w:bidi="ar-SA"/>
        </w:rPr>
        <w:t>13 days</w:t>
      </w:r>
      <w:r w:rsidRPr="0061499F">
        <w:rPr>
          <w:lang w:eastAsia="en-AU" w:bidi="ar-SA"/>
        </w:rPr>
        <w:t xml:space="preserve"> and subject to ophthalmological examinations before being assigned to groups, 10/sex/group.</w:t>
      </w:r>
      <w:r w:rsidRPr="00B51F78">
        <w:rPr>
          <w:color w:val="F79646" w:themeColor="accent6"/>
          <w:lang w:eastAsia="en-AU" w:bidi="ar-SA"/>
        </w:rPr>
        <w:t xml:space="preserve"> </w:t>
      </w:r>
      <w:r w:rsidRPr="0061499F">
        <w:rPr>
          <w:lang w:eastAsia="en-AU" w:bidi="ar-SA"/>
        </w:rPr>
        <w:t xml:space="preserve">Rats were group-housed, 5/cage, under standard laboratory conditions of environment and husbandry. Food and water were provided </w:t>
      </w:r>
      <w:r w:rsidRPr="0061499F">
        <w:rPr>
          <w:i/>
          <w:lang w:eastAsia="en-AU" w:bidi="ar-SA"/>
        </w:rPr>
        <w:t xml:space="preserve">ad libitum, </w:t>
      </w:r>
      <w:r w:rsidRPr="0061499F">
        <w:rPr>
          <w:lang w:eastAsia="en-AU" w:bidi="ar-SA"/>
        </w:rPr>
        <w:t>except prior to blood collection.</w:t>
      </w:r>
    </w:p>
    <w:p w14:paraId="18226F67" w14:textId="332B9DBE" w:rsidR="00B51F78" w:rsidRPr="0061499F" w:rsidRDefault="00B51F78" w:rsidP="00B51F78">
      <w:pPr>
        <w:rPr>
          <w:lang w:eastAsia="en-AU" w:bidi="ar-SA"/>
        </w:rPr>
      </w:pPr>
      <w:r w:rsidRPr="3CEA6639">
        <w:rPr>
          <w:lang w:eastAsia="en-AU" w:bidi="ar-SA"/>
        </w:rPr>
        <w:t xml:space="preserve">Parameters determined during the study included survival, clinical observations, bodyweight changes, food consumption and water consumption. In Week 12, all rats were assessed for sensory reactivity, grip strength and motor activity, and ophthalmological examinations were performed on control and </w:t>
      </w:r>
      <w:r w:rsidR="0061499F" w:rsidRPr="3CEA6639">
        <w:rPr>
          <w:lang w:eastAsia="en-AU" w:bidi="ar-SA"/>
        </w:rPr>
        <w:t>1356 mg</w:t>
      </w:r>
      <w:r w:rsidRPr="3CEA6639">
        <w:rPr>
          <w:lang w:eastAsia="en-AU" w:bidi="ar-SA"/>
        </w:rPr>
        <w:t xml:space="preserve"> TOS/kg bw/day (high dose) rats. In Week 13, rats were anaesthetised for collection of blood for haematology, measurement of coagulation times, and clinical chemistry. Rats were then killed, and detailed necropsy was performed. Fresh organ weights, as sex-appropriate, were recorded of adrenals, brain, epididymides, heart, kidneys, liver, ovaries, spleen, testes, thymus, and uterus. A comprehensive list of organs and tissues was preserved for histopathology.</w:t>
      </w:r>
    </w:p>
    <w:p w14:paraId="51C8BFDA" w14:textId="4DDF27E0" w:rsidR="00B51F78" w:rsidRDefault="00B51F78" w:rsidP="00B51F78">
      <w:pPr>
        <w:rPr>
          <w:lang w:eastAsia="en-AU" w:bidi="ar-SA"/>
        </w:rPr>
      </w:pPr>
      <w:r w:rsidRPr="3CEA6639">
        <w:rPr>
          <w:lang w:eastAsia="en-AU" w:bidi="ar-SA"/>
        </w:rPr>
        <w:lastRenderedPageBreak/>
        <w:t>All rats survived to the end of the in-life phase and there were no treatment-related effects on any of the parameters measured</w:t>
      </w:r>
      <w:r w:rsidR="0061499F" w:rsidRPr="3CEA6639">
        <w:rPr>
          <w:lang w:eastAsia="en-AU" w:bidi="ar-SA"/>
        </w:rPr>
        <w:t xml:space="preserve">, with the exception of liver weight. The group mean value for absolute liver weight of the 1356 mg TOS/kg bw/day males was slightly increased </w:t>
      </w:r>
      <w:r w:rsidR="00BA2E08" w:rsidRPr="3CEA6639">
        <w:rPr>
          <w:lang w:eastAsia="en-AU" w:bidi="ar-SA"/>
        </w:rPr>
        <w:t xml:space="preserve">(7.8%) </w:t>
      </w:r>
      <w:r w:rsidR="0061499F" w:rsidRPr="3CEA6639">
        <w:rPr>
          <w:lang w:eastAsia="en-AU" w:bidi="ar-SA"/>
        </w:rPr>
        <w:t>relative to that of male controls, but there was no associated histopathology, and serum markers of liver damage were not elevated.</w:t>
      </w:r>
      <w:r w:rsidRPr="3CEA6639">
        <w:rPr>
          <w:lang w:eastAsia="en-AU" w:bidi="ar-SA"/>
        </w:rPr>
        <w:t xml:space="preserve"> It was concluded that the no observed adverse effect level (NOAEL) was the highest dose tested, </w:t>
      </w:r>
      <w:r w:rsidR="00BA2E08" w:rsidRPr="3CEA6639">
        <w:rPr>
          <w:lang w:eastAsia="en-AU" w:bidi="ar-SA"/>
        </w:rPr>
        <w:t>1356 m</w:t>
      </w:r>
      <w:r w:rsidRPr="3CEA6639">
        <w:rPr>
          <w:lang w:eastAsia="en-AU" w:bidi="ar-SA"/>
        </w:rPr>
        <w:t>g TOS/kg bw/day.</w:t>
      </w:r>
    </w:p>
    <w:p w14:paraId="4DC91EA7" w14:textId="4DA3D936" w:rsidR="008472C0" w:rsidRPr="0033393C" w:rsidRDefault="008472C0" w:rsidP="0033393C">
      <w:pPr>
        <w:rPr>
          <w:b/>
          <w:i/>
          <w:lang w:eastAsia="en-AU" w:bidi="ar-SA"/>
        </w:rPr>
      </w:pPr>
      <w:r w:rsidRPr="0033393C">
        <w:rPr>
          <w:b/>
          <w:i/>
          <w:lang w:eastAsia="en-AU" w:bidi="ar-SA"/>
        </w:rPr>
        <w:t>3.3.3.2 Genotoxicity</w:t>
      </w:r>
    </w:p>
    <w:p w14:paraId="78A5FA6C" w14:textId="7DFA59D9" w:rsidR="00B51F78" w:rsidRPr="00D61FF0" w:rsidRDefault="00B51F78" w:rsidP="00B51F78">
      <w:pPr>
        <w:rPr>
          <w:i/>
          <w:lang w:eastAsia="en-AU" w:bidi="ar-SA"/>
        </w:rPr>
      </w:pPr>
      <w:r w:rsidRPr="00D61FF0">
        <w:rPr>
          <w:i/>
          <w:lang w:eastAsia="en-AU" w:bidi="ar-SA"/>
        </w:rPr>
        <w:t>Bacterial reverse mutation assay of beta-amylase (</w:t>
      </w:r>
      <w:r w:rsidR="00D61FF0" w:rsidRPr="00D61FF0">
        <w:rPr>
          <w:i/>
          <w:lang w:eastAsia="en-AU" w:bidi="ar-SA"/>
        </w:rPr>
        <w:t xml:space="preserve">Ballantyne </w:t>
      </w:r>
      <w:r w:rsidRPr="00D61FF0">
        <w:rPr>
          <w:i/>
          <w:lang w:eastAsia="en-AU" w:bidi="ar-SA"/>
        </w:rPr>
        <w:t>et al 201</w:t>
      </w:r>
      <w:r w:rsidR="00D61FF0" w:rsidRPr="00D61FF0">
        <w:rPr>
          <w:i/>
          <w:lang w:eastAsia="en-AU" w:bidi="ar-SA"/>
        </w:rPr>
        <w:t>6</w:t>
      </w:r>
      <w:r w:rsidRPr="00D61FF0">
        <w:rPr>
          <w:i/>
          <w:lang w:eastAsia="en-AU" w:bidi="ar-SA"/>
        </w:rPr>
        <w:t>; unpublished study). Regulatory status: GLP; in general accordance with OECD test guideline 471</w:t>
      </w:r>
    </w:p>
    <w:p w14:paraId="12A9420B" w14:textId="62C1EDE5" w:rsidR="00B51F78" w:rsidRPr="0037525F" w:rsidRDefault="00B51F78" w:rsidP="3CEA6639">
      <w:pPr>
        <w:rPr>
          <w:rFonts w:eastAsia="Calibri"/>
          <w:lang w:eastAsia="fr-FR" w:bidi="ar-SA"/>
        </w:rPr>
      </w:pPr>
      <w:r w:rsidRPr="3CEA6639">
        <w:rPr>
          <w:rFonts w:eastAsia="Calibri"/>
          <w:lang w:eastAsia="fr-FR" w:bidi="ar-SA"/>
        </w:rPr>
        <w:t xml:space="preserve">The bacterial reverse mutation assay was conducted under GLP conditions and in general accordance with OECD guideline 471, although the exposure in liquid culture (the “treat and plate” method) used is not described in any Guideline. This method was used because an enzyme concentrate is likely to contain free histidine and tryptophan, which could cause a “feeder effect” on bacterial colony growth, and result in false positive results. Bacterial test strains used in the assay were </w:t>
      </w:r>
      <w:r w:rsidR="00E42C42" w:rsidRPr="3CEA6639">
        <w:rPr>
          <w:rFonts w:eastAsia="Calibri"/>
          <w:i/>
          <w:iCs/>
          <w:lang w:eastAsia="fr-FR" w:bidi="ar-SA"/>
        </w:rPr>
        <w:t xml:space="preserve">Salmonella </w:t>
      </w:r>
      <w:r w:rsidR="00E42C42" w:rsidRPr="3CEA6639">
        <w:rPr>
          <w:rFonts w:cs="Arial"/>
          <w:i/>
          <w:iCs/>
          <w:lang w:val="en-AU"/>
        </w:rPr>
        <w:t>enterica</w:t>
      </w:r>
      <w:r w:rsidR="00E42C42" w:rsidRPr="3CEA6639">
        <w:rPr>
          <w:rFonts w:cs="Arial"/>
          <w:lang w:val="en-AU"/>
        </w:rPr>
        <w:t xml:space="preserve"> ser. Typhimurium</w:t>
      </w:r>
      <w:r w:rsidRPr="3CEA6639">
        <w:rPr>
          <w:rFonts w:eastAsia="Calibri"/>
          <w:lang w:eastAsia="fr-FR" w:bidi="ar-SA"/>
        </w:rPr>
        <w:t xml:space="preserve"> strains TA1535, TA100, TA1537, and TA98 and </w:t>
      </w:r>
      <w:r w:rsidRPr="3CEA6639">
        <w:rPr>
          <w:rFonts w:eastAsia="Calibri"/>
          <w:i/>
          <w:iCs/>
          <w:lang w:eastAsia="fr-FR" w:bidi="ar-SA"/>
        </w:rPr>
        <w:t>Escherichia coli</w:t>
      </w:r>
      <w:r w:rsidRPr="3CEA6639">
        <w:rPr>
          <w:rFonts w:eastAsia="Calibri"/>
          <w:lang w:eastAsia="fr-FR" w:bidi="ar-SA"/>
        </w:rPr>
        <w:t xml:space="preserve"> WP2uvrApKM101. The solvent and negative control article was deionised water. Bacteria were exposed to </w:t>
      </w:r>
      <w:r w:rsidR="00B62B7C" w:rsidRPr="3CEA6639">
        <w:rPr>
          <w:rFonts w:eastAsia="Calibri"/>
          <w:lang w:eastAsia="fr-FR" w:bidi="ar-SA"/>
        </w:rPr>
        <w:t>phospholipase A1</w:t>
      </w:r>
      <w:r w:rsidRPr="3CEA6639">
        <w:rPr>
          <w:rFonts w:eastAsia="Calibri"/>
          <w:lang w:eastAsia="fr-FR" w:bidi="ar-SA"/>
        </w:rPr>
        <w:t xml:space="preserve"> in a phosphate-buffered nutrient broth for 3 hours, at concentrations of </w:t>
      </w:r>
      <w:r w:rsidR="0037525F" w:rsidRPr="3CEA6639">
        <w:rPr>
          <w:rFonts w:eastAsia="Calibri"/>
          <w:lang w:eastAsia="fr-FR" w:bidi="ar-SA"/>
        </w:rPr>
        <w:t>16, 50, 160, 500, 1600</w:t>
      </w:r>
      <w:r w:rsidR="00957F35" w:rsidRPr="3CEA6639">
        <w:rPr>
          <w:rFonts w:eastAsia="Calibri"/>
          <w:lang w:eastAsia="fr-FR" w:bidi="ar-SA"/>
        </w:rPr>
        <w:t xml:space="preserve"> </w:t>
      </w:r>
      <w:r w:rsidRPr="3CEA6639">
        <w:rPr>
          <w:rFonts w:eastAsia="Calibri"/>
          <w:lang w:eastAsia="fr-FR" w:bidi="ar-SA"/>
        </w:rPr>
        <w:t xml:space="preserve">and 5000 </w:t>
      </w:r>
      <w:r w:rsidRPr="3CEA6639">
        <w:rPr>
          <w:rFonts w:eastAsia="Calibri" w:cs="Arial"/>
          <w:lang w:eastAsia="fr-FR" w:bidi="ar-SA"/>
        </w:rPr>
        <w:t>μ</w:t>
      </w:r>
      <w:r w:rsidRPr="3CEA6639">
        <w:rPr>
          <w:rFonts w:eastAsia="Calibri"/>
          <w:lang w:eastAsia="fr-FR" w:bidi="ar-SA"/>
        </w:rPr>
        <w:t>g TOS/mL</w:t>
      </w:r>
      <w:r w:rsidR="0037525F" w:rsidRPr="3CEA6639">
        <w:rPr>
          <w:rFonts w:eastAsia="Calibri"/>
          <w:lang w:eastAsia="fr-FR" w:bidi="ar-SA"/>
        </w:rPr>
        <w:t xml:space="preserve"> in Experiment 1, and over a narrower range of 160, 300, 625, 1250, 2500 and 5000 μg TOS/mL in Experiment 2</w:t>
      </w:r>
      <w:r w:rsidRPr="3CEA6639">
        <w:rPr>
          <w:rFonts w:eastAsia="Calibri"/>
          <w:lang w:eastAsia="fr-FR" w:bidi="ar-SA"/>
        </w:rPr>
        <w:t xml:space="preserve">. The test article was removed by centrifugation prior to plating of the bacteria. </w:t>
      </w:r>
      <w:r w:rsidR="0037525F" w:rsidRPr="3CEA6639">
        <w:rPr>
          <w:rFonts w:eastAsia="Calibri"/>
          <w:lang w:eastAsia="fr-FR" w:bidi="ar-SA"/>
        </w:rPr>
        <w:t xml:space="preserve">Each assay was conducted </w:t>
      </w:r>
      <w:r w:rsidRPr="3CEA6639">
        <w:rPr>
          <w:rFonts w:eastAsia="Calibri"/>
          <w:lang w:eastAsia="fr-FR" w:bidi="ar-SA"/>
        </w:rPr>
        <w:t>in triplicate, in the absence and presence of S9 mix for metabolic activation. Tests with appropriate positive control articles were run in parallel.</w:t>
      </w:r>
    </w:p>
    <w:p w14:paraId="6B0A7C0D" w14:textId="4AF9834D" w:rsidR="00B51F78" w:rsidRPr="003A31B3" w:rsidRDefault="0037525F" w:rsidP="3CEA6639">
      <w:pPr>
        <w:rPr>
          <w:rFonts w:eastAsia="Calibri"/>
          <w:lang w:eastAsia="fr-FR" w:bidi="ar-SA"/>
        </w:rPr>
      </w:pPr>
      <w:r w:rsidRPr="3CEA6639">
        <w:rPr>
          <w:rFonts w:eastAsia="Calibri"/>
          <w:lang w:eastAsia="fr-FR" w:bidi="ar-SA"/>
        </w:rPr>
        <w:t xml:space="preserve">In Experiment 1, evidence of toxicity of the phospholipase A1 to the bacteria was limited to slight thinning of the bacterial lawn for TA 98, in the presence of S9, only at 5000 </w:t>
      </w:r>
      <w:r w:rsidRPr="3CEA6639">
        <w:rPr>
          <w:rFonts w:eastAsia="Calibri" w:cs="Arial"/>
          <w:lang w:eastAsia="fr-FR" w:bidi="ar-SA"/>
        </w:rPr>
        <w:t>μ</w:t>
      </w:r>
      <w:r w:rsidRPr="3CEA6639">
        <w:rPr>
          <w:rFonts w:eastAsia="Calibri"/>
          <w:lang w:eastAsia="fr-FR" w:bidi="ar-SA"/>
        </w:rPr>
        <w:t xml:space="preserve">g TOS/mL. There was no clear evidence of toxicity observed in Experiment 2. </w:t>
      </w:r>
      <w:r w:rsidR="003A31B3" w:rsidRPr="3CEA6639">
        <w:rPr>
          <w:rFonts w:eastAsia="Calibri"/>
          <w:lang w:eastAsia="fr-FR" w:bidi="ar-SA"/>
        </w:rPr>
        <w:t xml:space="preserve">A very small increase in revertant numbers </w:t>
      </w:r>
      <w:r w:rsidR="00957F35" w:rsidRPr="3CEA6639">
        <w:rPr>
          <w:rFonts w:eastAsia="Calibri"/>
          <w:lang w:eastAsia="fr-FR" w:bidi="ar-SA"/>
        </w:rPr>
        <w:t xml:space="preserve">was observed </w:t>
      </w:r>
      <w:r w:rsidR="003A31B3" w:rsidRPr="3CEA6639">
        <w:rPr>
          <w:rFonts w:eastAsia="Calibri"/>
          <w:lang w:eastAsia="fr-FR" w:bidi="ar-SA"/>
        </w:rPr>
        <w:t xml:space="preserve">in strain TA1537, in the absence of S9 in Experiment 1 at all concentration of the enzyme but was not observed in Experiment 2 and was therefore considered unrelated to the test article. </w:t>
      </w:r>
      <w:r w:rsidR="00B51F78" w:rsidRPr="3CEA6639">
        <w:rPr>
          <w:rFonts w:eastAsia="Calibri"/>
          <w:lang w:eastAsia="fr-FR" w:bidi="ar-SA"/>
        </w:rPr>
        <w:t>The positive control articles induced the expected significant increases in revertant colonies compared to the solvent control plates, confirming the validity of the assay. It was concluded that the enzyme is not mutagenic under the conditions of this assay.</w:t>
      </w:r>
    </w:p>
    <w:p w14:paraId="6F8C09CF" w14:textId="06B49AEB" w:rsidR="00B51F78" w:rsidRPr="003E28FC" w:rsidRDefault="00B51F78" w:rsidP="00B51F78">
      <w:pPr>
        <w:rPr>
          <w:i/>
          <w:szCs w:val="22"/>
          <w:lang w:eastAsia="en-AU" w:bidi="ar-SA"/>
        </w:rPr>
      </w:pPr>
      <w:r w:rsidRPr="003E28FC">
        <w:rPr>
          <w:szCs w:val="22"/>
          <w:lang w:eastAsia="en-AU" w:bidi="ar-SA"/>
        </w:rPr>
        <w:t>In vitro</w:t>
      </w:r>
      <w:r w:rsidRPr="003E28FC">
        <w:rPr>
          <w:i/>
          <w:szCs w:val="22"/>
          <w:lang w:eastAsia="en-AU" w:bidi="ar-SA"/>
        </w:rPr>
        <w:t xml:space="preserve"> micronucleus assay of </w:t>
      </w:r>
      <w:r w:rsidR="003E28FC" w:rsidRPr="003E28FC">
        <w:rPr>
          <w:i/>
          <w:szCs w:val="22"/>
          <w:lang w:eastAsia="en-AU" w:bidi="ar-SA"/>
        </w:rPr>
        <w:t>phospholipase A1</w:t>
      </w:r>
      <w:r w:rsidRPr="003E28FC">
        <w:rPr>
          <w:i/>
          <w:szCs w:val="22"/>
          <w:lang w:eastAsia="en-AU" w:bidi="ar-SA"/>
        </w:rPr>
        <w:t xml:space="preserve"> in human peripheral lymphocytes (Whitwell et al 201</w:t>
      </w:r>
      <w:r w:rsidR="003E28FC" w:rsidRPr="003E28FC">
        <w:rPr>
          <w:i/>
          <w:szCs w:val="22"/>
          <w:lang w:eastAsia="en-AU" w:bidi="ar-SA"/>
        </w:rPr>
        <w:t>6</w:t>
      </w:r>
      <w:r w:rsidRPr="003E28FC">
        <w:rPr>
          <w:i/>
          <w:szCs w:val="22"/>
          <w:lang w:eastAsia="en-AU" w:bidi="ar-SA"/>
        </w:rPr>
        <w:t>; unpublished study). Regulatory status: GLP; in compliance with OECD test guideline 487</w:t>
      </w:r>
    </w:p>
    <w:p w14:paraId="2F119E61" w14:textId="12C87120" w:rsidR="00B51F78" w:rsidRPr="001B131D" w:rsidRDefault="00B51F78" w:rsidP="3CEA6639">
      <w:pPr>
        <w:rPr>
          <w:rFonts w:eastAsia="Calibri"/>
          <w:lang w:eastAsia="fr-FR" w:bidi="ar-SA"/>
        </w:rPr>
      </w:pPr>
      <w:r w:rsidRPr="3CEA6639">
        <w:rPr>
          <w:rFonts w:eastAsia="Calibri"/>
          <w:lang w:eastAsia="fr-FR" w:bidi="ar-SA"/>
        </w:rPr>
        <w:t xml:space="preserve">Lymphocytes were harvested from the peripheral blood from two healthy non-smoking female volunteers. The solvent and negative control article was sterile water. Appropriate positive control articles were used; mitomycin C and vinblastine as clastogenic and aneugenic positive control chemicals respectively in the absence of S9 mix, and cyclophosphamide as a clastogenic positive control chemical in the presence of S9 mix. Cultures were exposed to the test substance for three hours in the presence and absence </w:t>
      </w:r>
      <w:r w:rsidR="00957F35" w:rsidRPr="3CEA6639">
        <w:rPr>
          <w:rFonts w:eastAsia="Calibri"/>
          <w:lang w:eastAsia="fr-FR" w:bidi="ar-SA"/>
        </w:rPr>
        <w:t xml:space="preserve">of </w:t>
      </w:r>
      <w:r w:rsidRPr="3CEA6639">
        <w:rPr>
          <w:rFonts w:eastAsia="Calibri"/>
          <w:lang w:eastAsia="fr-FR" w:bidi="ar-SA"/>
        </w:rPr>
        <w:t>S9 mix</w:t>
      </w:r>
      <w:r w:rsidR="00957F35" w:rsidRPr="3CEA6639">
        <w:rPr>
          <w:rFonts w:eastAsia="Calibri"/>
          <w:lang w:eastAsia="fr-FR" w:bidi="ar-SA"/>
        </w:rPr>
        <w:t xml:space="preserve"> </w:t>
      </w:r>
      <w:r w:rsidRPr="3CEA6639">
        <w:rPr>
          <w:rFonts w:eastAsia="Calibri"/>
          <w:lang w:eastAsia="fr-FR" w:bidi="ar-SA"/>
        </w:rPr>
        <w:t>and harvested 24 hours after the beginning of treatment. In addition, a continuous 24-hour treatment without S9 mix was conducted with harvesting 48 hours a</w:t>
      </w:r>
      <w:r w:rsidR="001B131D" w:rsidRPr="3CEA6639">
        <w:rPr>
          <w:rFonts w:eastAsia="Calibri"/>
          <w:lang w:eastAsia="fr-FR" w:bidi="ar-SA"/>
        </w:rPr>
        <w:t>fter the beginning of treatment</w:t>
      </w:r>
      <w:r w:rsidRPr="3CEA6639">
        <w:rPr>
          <w:rFonts w:eastAsia="Calibri"/>
          <w:lang w:eastAsia="fr-FR" w:bidi="ar-SA"/>
        </w:rPr>
        <w:t xml:space="preserve">. </w:t>
      </w:r>
      <w:r w:rsidR="001B131D" w:rsidRPr="3CEA6639">
        <w:rPr>
          <w:rFonts w:eastAsia="Calibri"/>
          <w:lang w:eastAsia="fr-FR" w:bidi="ar-SA"/>
        </w:rPr>
        <w:t>T</w:t>
      </w:r>
      <w:r w:rsidRPr="3CEA6639">
        <w:rPr>
          <w:rFonts w:eastAsia="Calibri"/>
          <w:lang w:eastAsia="fr-FR" w:bidi="ar-SA"/>
        </w:rPr>
        <w:t>est concentrations of the enzyme were 3000, 4000 and 5000 μg TOS/mL</w:t>
      </w:r>
      <w:r w:rsidR="001B131D" w:rsidRPr="3CEA6639">
        <w:rPr>
          <w:rFonts w:eastAsia="Calibri"/>
          <w:lang w:eastAsia="fr-FR" w:bidi="ar-SA"/>
        </w:rPr>
        <w:t xml:space="preserve"> in all </w:t>
      </w:r>
      <w:r w:rsidR="00957F35" w:rsidRPr="3CEA6639">
        <w:rPr>
          <w:rFonts w:eastAsia="Calibri"/>
          <w:lang w:eastAsia="fr-FR" w:bidi="ar-SA"/>
        </w:rPr>
        <w:t>experiments</w:t>
      </w:r>
      <w:r w:rsidR="001B131D" w:rsidRPr="3CEA6639">
        <w:rPr>
          <w:rFonts w:eastAsia="Calibri"/>
          <w:lang w:eastAsia="fr-FR" w:bidi="ar-SA"/>
        </w:rPr>
        <w:t xml:space="preserve">. </w:t>
      </w:r>
      <w:r w:rsidRPr="3CEA6639">
        <w:rPr>
          <w:rFonts w:eastAsia="Calibri"/>
          <w:lang w:eastAsia="fr-FR" w:bidi="ar-SA"/>
        </w:rPr>
        <w:t xml:space="preserve">Negative control tests were conducted in quadruplicate while tests of the enzyme </w:t>
      </w:r>
      <w:r w:rsidRPr="3CEA6639">
        <w:rPr>
          <w:rFonts w:eastAsia="Calibri"/>
          <w:lang w:eastAsia="fr-FR" w:bidi="ar-SA"/>
        </w:rPr>
        <w:lastRenderedPageBreak/>
        <w:t>concentrate were conducted in duplicate. The cultures were treated with cytochalasin-B after removal of the test substance. One thousand binucleate cells from each culture (2000 per concentration) were analysed for micronuclei.</w:t>
      </w:r>
    </w:p>
    <w:p w14:paraId="507FFAEE" w14:textId="4F21D32E" w:rsidR="00B51F78" w:rsidRPr="001B131D" w:rsidRDefault="00B51F78" w:rsidP="3CEA6639">
      <w:pPr>
        <w:rPr>
          <w:rFonts w:eastAsia="Calibri"/>
          <w:lang w:eastAsia="fr-FR" w:bidi="ar-SA"/>
        </w:rPr>
      </w:pPr>
      <w:r w:rsidRPr="3CEA6639">
        <w:rPr>
          <w:rFonts w:eastAsia="Calibri"/>
          <w:lang w:eastAsia="fr-FR" w:bidi="ar-SA"/>
        </w:rPr>
        <w:t xml:space="preserve">Treatment of cells with </w:t>
      </w:r>
      <w:r w:rsidR="001B131D" w:rsidRPr="3CEA6639">
        <w:rPr>
          <w:rFonts w:eastAsia="Calibri"/>
          <w:lang w:eastAsia="fr-FR" w:bidi="ar-SA"/>
        </w:rPr>
        <w:t xml:space="preserve">phospholipase A1 in the </w:t>
      </w:r>
      <w:r w:rsidRPr="3CEA6639">
        <w:rPr>
          <w:rFonts w:eastAsia="Calibri"/>
          <w:lang w:eastAsia="fr-FR" w:bidi="ar-SA"/>
        </w:rPr>
        <w:t xml:space="preserve">absence and presence of S9 resulted in frequencies of </w:t>
      </w:r>
      <w:r w:rsidR="00957F35" w:rsidRPr="3CEA6639">
        <w:rPr>
          <w:rFonts w:eastAsia="Calibri"/>
          <w:lang w:eastAsia="fr-FR" w:bidi="ar-SA"/>
        </w:rPr>
        <w:t>micronucleated binucleate</w:t>
      </w:r>
      <w:r w:rsidRPr="3CEA6639">
        <w:rPr>
          <w:rFonts w:eastAsia="Calibri"/>
          <w:lang w:eastAsia="fr-FR" w:bidi="ar-SA"/>
        </w:rPr>
        <w:t xml:space="preserve"> </w:t>
      </w:r>
      <w:r w:rsidR="00957F35" w:rsidRPr="3CEA6639">
        <w:rPr>
          <w:rFonts w:eastAsia="Calibri"/>
          <w:lang w:eastAsia="fr-FR" w:bidi="ar-SA"/>
        </w:rPr>
        <w:t>(</w:t>
      </w:r>
      <w:r w:rsidRPr="3CEA6639">
        <w:rPr>
          <w:rFonts w:eastAsia="Calibri"/>
          <w:lang w:eastAsia="fr-FR" w:bidi="ar-SA"/>
        </w:rPr>
        <w:t>MNBN</w:t>
      </w:r>
      <w:r w:rsidR="00957F35" w:rsidRPr="3CEA6639">
        <w:rPr>
          <w:rFonts w:eastAsia="Calibri"/>
          <w:lang w:eastAsia="fr-FR" w:bidi="ar-SA"/>
        </w:rPr>
        <w:t>)</w:t>
      </w:r>
      <w:r w:rsidRPr="3CEA6639">
        <w:rPr>
          <w:rFonts w:eastAsia="Calibri"/>
          <w:lang w:eastAsia="fr-FR" w:bidi="ar-SA"/>
        </w:rPr>
        <w:t xml:space="preserve"> cells which were similar to and not significantly (p≤0.05) higher than those observed in concurrent vehicle controls. The positive control articles induced the expected increases in MNBN cells, confirming the validity of the assay. It was concluded that the enzyme did not induce micronuclei in human peripheral blood lymphocytes.</w:t>
      </w:r>
    </w:p>
    <w:p w14:paraId="2839AB1A" w14:textId="29001AEA" w:rsidR="008472C0" w:rsidRPr="008472C0" w:rsidRDefault="008472C0" w:rsidP="008472C0">
      <w:pPr>
        <w:keepNext/>
        <w:spacing w:before="240" w:after="240"/>
        <w:ind w:left="851" w:hanging="851"/>
        <w:outlineLvl w:val="2"/>
        <w:rPr>
          <w:b/>
          <w:bCs/>
          <w:lang w:eastAsia="en-AU" w:bidi="ar-SA"/>
        </w:rPr>
      </w:pPr>
      <w:bookmarkStart w:id="154" w:name="_Toc85204779"/>
      <w:bookmarkStart w:id="155" w:name="_Toc85211341"/>
      <w:bookmarkStart w:id="156" w:name="_Toc87259316"/>
      <w:bookmarkStart w:id="157" w:name="_Toc107223013"/>
      <w:r w:rsidRPr="0033393C">
        <w:rPr>
          <w:b/>
          <w:bCs/>
          <w:lang w:eastAsia="en-AU" w:bidi="ar-SA"/>
        </w:rPr>
        <w:t>3.3.</w:t>
      </w:r>
      <w:r w:rsidR="0027125A">
        <w:rPr>
          <w:b/>
          <w:bCs/>
          <w:lang w:eastAsia="en-AU" w:bidi="ar-SA"/>
        </w:rPr>
        <w:t>4</w:t>
      </w:r>
      <w:r>
        <w:tab/>
      </w:r>
      <w:r w:rsidRPr="0033393C">
        <w:rPr>
          <w:b/>
          <w:bCs/>
          <w:lang w:eastAsia="en-AU" w:bidi="ar-SA"/>
        </w:rPr>
        <w:t>Potential for allergenicity</w:t>
      </w:r>
      <w:bookmarkEnd w:id="154"/>
      <w:bookmarkEnd w:id="155"/>
      <w:bookmarkEnd w:id="156"/>
      <w:bookmarkEnd w:id="157"/>
      <w:r w:rsidRPr="0033393C">
        <w:rPr>
          <w:b/>
          <w:bCs/>
          <w:lang w:eastAsia="en-AU" w:bidi="ar-SA"/>
        </w:rPr>
        <w:t xml:space="preserve"> </w:t>
      </w:r>
    </w:p>
    <w:p w14:paraId="4765C46F" w14:textId="6527C2F3" w:rsidR="008472C0" w:rsidRPr="00284960" w:rsidRDefault="00B51F78" w:rsidP="0033393C">
      <w:pPr>
        <w:pStyle w:val="Default"/>
        <w:rPr>
          <w:color w:val="auto"/>
          <w:sz w:val="22"/>
          <w:szCs w:val="22"/>
        </w:rPr>
      </w:pPr>
      <w:r w:rsidRPr="00284960">
        <w:rPr>
          <w:color w:val="auto"/>
          <w:sz w:val="22"/>
          <w:szCs w:val="22"/>
        </w:rPr>
        <w:t xml:space="preserve">A </w:t>
      </w:r>
      <w:r w:rsidR="009E7D8E" w:rsidRPr="00284960">
        <w:rPr>
          <w:color w:val="auto"/>
          <w:sz w:val="22"/>
          <w:szCs w:val="22"/>
        </w:rPr>
        <w:t xml:space="preserve">recent (2020) </w:t>
      </w:r>
      <w:r w:rsidRPr="00284960">
        <w:rPr>
          <w:color w:val="auto"/>
          <w:sz w:val="22"/>
          <w:szCs w:val="22"/>
        </w:rPr>
        <w:t xml:space="preserve">sequence homology assessment of the </w:t>
      </w:r>
      <w:r w:rsidR="009E7D8E" w:rsidRPr="00284960">
        <w:rPr>
          <w:color w:val="auto"/>
          <w:sz w:val="22"/>
          <w:szCs w:val="22"/>
        </w:rPr>
        <w:t>phospholipase A1</w:t>
      </w:r>
      <w:r w:rsidRPr="00284960">
        <w:rPr>
          <w:color w:val="auto"/>
          <w:sz w:val="22"/>
          <w:szCs w:val="22"/>
        </w:rPr>
        <w:t xml:space="preserve"> enzyme to known allergens was conducted by comparing the amino acid sequence of the enzyme to allergens from the </w:t>
      </w:r>
      <w:r w:rsidR="00A34D24">
        <w:rPr>
          <w:color w:val="auto"/>
          <w:sz w:val="22"/>
          <w:szCs w:val="22"/>
        </w:rPr>
        <w:t>Food Allergy Research and Resource Program (</w:t>
      </w:r>
      <w:r w:rsidRPr="00284960">
        <w:rPr>
          <w:color w:val="auto"/>
          <w:sz w:val="22"/>
          <w:szCs w:val="22"/>
        </w:rPr>
        <w:t>FARRP</w:t>
      </w:r>
      <w:r w:rsidR="00A34D24">
        <w:rPr>
          <w:color w:val="auto"/>
          <w:sz w:val="22"/>
          <w:szCs w:val="22"/>
        </w:rPr>
        <w:t>)</w:t>
      </w:r>
      <w:r w:rsidRPr="00284960">
        <w:rPr>
          <w:color w:val="auto"/>
          <w:sz w:val="22"/>
          <w:szCs w:val="22"/>
        </w:rPr>
        <w:t xml:space="preserve"> allergen protein database</w:t>
      </w:r>
      <w:r w:rsidRPr="00284960">
        <w:rPr>
          <w:rStyle w:val="FootnoteReference"/>
          <w:color w:val="auto"/>
          <w:sz w:val="22"/>
          <w:szCs w:val="22"/>
        </w:rPr>
        <w:footnoteReference w:id="4"/>
      </w:r>
      <w:r w:rsidRPr="00284960">
        <w:rPr>
          <w:color w:val="auto"/>
          <w:sz w:val="22"/>
          <w:szCs w:val="22"/>
        </w:rPr>
        <w:t xml:space="preserve">. </w:t>
      </w:r>
      <w:r w:rsidR="009E7D8E" w:rsidRPr="00284960">
        <w:rPr>
          <w:color w:val="auto"/>
          <w:sz w:val="22"/>
          <w:szCs w:val="22"/>
        </w:rPr>
        <w:t>Searches included 35% identity over a sliding window of 80 amino acids, 35% identity over 80 amino acids (scaled), full-length alignment and 100% identity over 8 amino acids. There were no hits with any of the four searches. I</w:t>
      </w:r>
      <w:r w:rsidRPr="00284960">
        <w:rPr>
          <w:color w:val="auto"/>
          <w:sz w:val="22"/>
          <w:szCs w:val="22"/>
        </w:rPr>
        <w:t xml:space="preserve">t is concluded that the </w:t>
      </w:r>
      <w:r w:rsidR="009E7D8E" w:rsidRPr="00284960">
        <w:rPr>
          <w:color w:val="auto"/>
          <w:sz w:val="22"/>
          <w:szCs w:val="22"/>
        </w:rPr>
        <w:t xml:space="preserve">phospholipase A1 </w:t>
      </w:r>
      <w:r w:rsidRPr="00284960">
        <w:rPr>
          <w:color w:val="auto"/>
          <w:sz w:val="22"/>
          <w:szCs w:val="22"/>
        </w:rPr>
        <w:t>is not anticipated to pose any allergenic concern</w:t>
      </w:r>
      <w:r w:rsidR="000A6FEE" w:rsidRPr="00284960">
        <w:rPr>
          <w:color w:val="auto"/>
          <w:sz w:val="22"/>
          <w:szCs w:val="22"/>
        </w:rPr>
        <w:t xml:space="preserve"> in food</w:t>
      </w:r>
      <w:r w:rsidRPr="00284960">
        <w:rPr>
          <w:color w:val="auto"/>
          <w:sz w:val="22"/>
          <w:szCs w:val="22"/>
        </w:rPr>
        <w:t>.</w:t>
      </w:r>
    </w:p>
    <w:p w14:paraId="262DB4D0" w14:textId="340BD430" w:rsidR="008472C0" w:rsidRPr="008472C0" w:rsidRDefault="008472C0" w:rsidP="008472C0">
      <w:pPr>
        <w:keepNext/>
        <w:spacing w:before="240" w:after="240"/>
        <w:ind w:left="851" w:hanging="851"/>
        <w:outlineLvl w:val="2"/>
        <w:rPr>
          <w:b/>
          <w:bCs/>
          <w:lang w:eastAsia="en-AU" w:bidi="ar-SA"/>
        </w:rPr>
      </w:pPr>
      <w:bookmarkStart w:id="158" w:name="_Toc67559448"/>
      <w:bookmarkStart w:id="159" w:name="_Toc85204780"/>
      <w:bookmarkStart w:id="160" w:name="_Toc85211342"/>
      <w:bookmarkStart w:id="161" w:name="_Toc87259317"/>
      <w:bookmarkStart w:id="162" w:name="_Toc107223014"/>
      <w:r w:rsidRPr="008472C0">
        <w:rPr>
          <w:b/>
          <w:bCs/>
          <w:lang w:eastAsia="en-AU" w:bidi="ar-SA"/>
        </w:rPr>
        <w:t>3.3.</w:t>
      </w:r>
      <w:r w:rsidR="0027125A">
        <w:rPr>
          <w:b/>
          <w:bCs/>
          <w:lang w:eastAsia="en-AU" w:bidi="ar-SA"/>
        </w:rPr>
        <w:t>5</w:t>
      </w:r>
      <w:r w:rsidRPr="008472C0">
        <w:rPr>
          <w:b/>
          <w:bCs/>
          <w:lang w:eastAsia="en-AU" w:bidi="ar-SA"/>
        </w:rPr>
        <w:tab/>
        <w:t>Assessments by other regulatory agencies</w:t>
      </w:r>
      <w:bookmarkEnd w:id="158"/>
      <w:bookmarkEnd w:id="159"/>
      <w:bookmarkEnd w:id="160"/>
      <w:bookmarkEnd w:id="161"/>
      <w:bookmarkEnd w:id="162"/>
    </w:p>
    <w:p w14:paraId="6FDF603D" w14:textId="63D8BB60" w:rsidR="00B51F78" w:rsidRPr="00B51F78" w:rsidRDefault="00B51F78" w:rsidP="0033393C">
      <w:pPr>
        <w:spacing w:before="240" w:after="240"/>
        <w:rPr>
          <w:lang w:eastAsia="en-AU" w:bidi="ar-SA"/>
        </w:rPr>
      </w:pPr>
      <w:r w:rsidRPr="3CEA6639">
        <w:rPr>
          <w:lang w:eastAsia="en-AU" w:bidi="ar-SA"/>
        </w:rPr>
        <w:t xml:space="preserve">No safety assessment reports by other regulatory agencies are available. </w:t>
      </w:r>
      <w:r w:rsidR="00A34D24" w:rsidRPr="3CEA6639">
        <w:rPr>
          <w:lang w:eastAsia="en-AU" w:bidi="ar-SA"/>
        </w:rPr>
        <w:t>However as noted in section 3.3.1 the</w:t>
      </w:r>
      <w:r w:rsidRPr="3CEA6639">
        <w:rPr>
          <w:lang w:eastAsia="en-AU" w:bidi="ar-SA"/>
        </w:rPr>
        <w:t xml:space="preserve"> enzyme has been approved for use in Denmark and France since 2018, and Brazil and Mexico since 2019.  </w:t>
      </w:r>
    </w:p>
    <w:p w14:paraId="01268513" w14:textId="5DABA8B0" w:rsidR="008472C0" w:rsidRDefault="008472C0" w:rsidP="008472C0">
      <w:pPr>
        <w:keepNext/>
        <w:spacing w:before="240" w:after="240"/>
        <w:outlineLvl w:val="1"/>
        <w:rPr>
          <w:rFonts w:cs="Arial"/>
          <w:b/>
          <w:bCs/>
          <w:sz w:val="28"/>
          <w:szCs w:val="22"/>
          <w:lang w:bidi="ar-SA"/>
        </w:rPr>
      </w:pPr>
      <w:bookmarkStart w:id="163" w:name="_Toc85204781"/>
      <w:bookmarkStart w:id="164" w:name="_Toc85211343"/>
      <w:bookmarkStart w:id="165" w:name="_Toc87259318"/>
      <w:bookmarkStart w:id="166" w:name="_Toc107223015"/>
      <w:r w:rsidRPr="008472C0">
        <w:rPr>
          <w:rFonts w:cs="Arial"/>
          <w:b/>
          <w:bCs/>
          <w:sz w:val="28"/>
          <w:szCs w:val="22"/>
          <w:lang w:bidi="ar-SA"/>
        </w:rPr>
        <w:t>3.4</w:t>
      </w:r>
      <w:r w:rsidRPr="008472C0">
        <w:rPr>
          <w:rFonts w:cs="Arial"/>
          <w:b/>
          <w:bCs/>
          <w:sz w:val="28"/>
          <w:szCs w:val="22"/>
          <w:lang w:bidi="ar-SA"/>
        </w:rPr>
        <w:tab/>
        <w:t>Dietary exposure assessment</w:t>
      </w:r>
      <w:bookmarkEnd w:id="163"/>
      <w:bookmarkEnd w:id="164"/>
      <w:bookmarkEnd w:id="165"/>
      <w:bookmarkEnd w:id="166"/>
    </w:p>
    <w:p w14:paraId="66CCBB90" w14:textId="06BD38E4" w:rsidR="003D650A" w:rsidRDefault="003D650A" w:rsidP="003D650A">
      <w:pPr>
        <w:rPr>
          <w:rFonts w:cstheme="minorHAnsi"/>
        </w:rPr>
      </w:pPr>
      <w:r w:rsidRPr="00BB1F02">
        <w:rPr>
          <w:rFonts w:cstheme="minorHAnsi"/>
        </w:rPr>
        <w:t xml:space="preserve">The objective of the dietary exposure assessment was to review the budget method calculation presented by the applicant as a ‘worse-case scenario’ approach to estimating likely levels of dietary exposure, assuming all added </w:t>
      </w:r>
      <w:r>
        <w:rPr>
          <w:rFonts w:cstheme="minorHAnsi"/>
        </w:rPr>
        <w:t>phospholipase</w:t>
      </w:r>
      <w:r w:rsidRPr="00BB1F02">
        <w:rPr>
          <w:rFonts w:cstheme="minorHAnsi"/>
        </w:rPr>
        <w:t xml:space="preserve"> </w:t>
      </w:r>
      <w:r w:rsidR="00B17041">
        <w:rPr>
          <w:rFonts w:cstheme="minorHAnsi"/>
        </w:rPr>
        <w:t xml:space="preserve">A1 </w:t>
      </w:r>
      <w:r w:rsidRPr="00BB1F02">
        <w:rPr>
          <w:rFonts w:cstheme="minorHAnsi"/>
        </w:rPr>
        <w:t>enzyme remained in the food.</w:t>
      </w:r>
    </w:p>
    <w:p w14:paraId="764BC09A" w14:textId="359EBB92" w:rsidR="003D650A" w:rsidRDefault="003D650A" w:rsidP="3CEA6639">
      <w:pPr>
        <w:rPr>
          <w:rFonts w:eastAsia="Arial" w:cs="Arial"/>
          <w:szCs w:val="22"/>
        </w:rPr>
      </w:pPr>
      <w:r w:rsidRPr="3CEA6639">
        <w:rPr>
          <w:rFonts w:cstheme="minorBidi"/>
        </w:rPr>
        <w:t xml:space="preserve">The budget method is a valid screening tool for estimating the theoretical maximum daily intake (TMDI) of a food additive (Douglass et al 1997). The calculation is based on physiological food and liquid requirements, the food additive concentration in foods and beverages, and the proportion of foods and beverages that may contain the food additive. The TMDI can then be compared to an </w:t>
      </w:r>
      <w:r w:rsidR="00A34D24" w:rsidRPr="3CEA6639">
        <w:rPr>
          <w:rFonts w:cstheme="minorBidi"/>
        </w:rPr>
        <w:t>acceptable daily intake (</w:t>
      </w:r>
      <w:r w:rsidRPr="3CEA6639">
        <w:rPr>
          <w:rFonts w:cstheme="minorBidi"/>
        </w:rPr>
        <w:t>ADI</w:t>
      </w:r>
      <w:r w:rsidR="00A34D24" w:rsidRPr="3CEA6639">
        <w:rPr>
          <w:rFonts w:cstheme="minorBidi"/>
        </w:rPr>
        <w:t>)</w:t>
      </w:r>
      <w:r w:rsidRPr="3CEA6639">
        <w:rPr>
          <w:rFonts w:cstheme="minorBidi"/>
        </w:rPr>
        <w:t xml:space="preserve"> or a NOAEL to estimate a margin of exposure for risk characterisation purposes. </w:t>
      </w:r>
      <w:r w:rsidR="3CEA6639" w:rsidRPr="3CEA6639">
        <w:rPr>
          <w:rFonts w:eastAsia="Arial" w:cs="Arial"/>
          <w:szCs w:val="22"/>
        </w:rPr>
        <w:t>Whilst the budget method was originally developed for use in assessing food additives, it is also appropriate to use for estimating the TMDI for processing aids (FAO/WHO 2020). The method is used by international regulatory bodies and the FAO/WHO Joint Expert Committee on Food Additives (JECFA) (FAO/WHO 2021) for dietary exposure assessments for processing aids.</w:t>
      </w:r>
    </w:p>
    <w:p w14:paraId="5F76B21A" w14:textId="77777777" w:rsidR="003D650A" w:rsidRPr="00763863" w:rsidRDefault="003D650A" w:rsidP="003D650A">
      <w:pPr>
        <w:rPr>
          <w:rFonts w:cs="Arial"/>
        </w:rPr>
      </w:pPr>
      <w:r w:rsidRPr="00BB1F02">
        <w:rPr>
          <w:rFonts w:cstheme="minorHAnsi"/>
        </w:rPr>
        <w:t>In their budget method calculation, the applicant made the following assumptions:</w:t>
      </w:r>
    </w:p>
    <w:p w14:paraId="507083B3" w14:textId="04B49958" w:rsidR="003D650A" w:rsidRPr="00763863" w:rsidRDefault="003D650A" w:rsidP="3CEA6639">
      <w:pPr>
        <w:pStyle w:val="FSBullet1"/>
        <w:spacing w:before="0" w:after="0"/>
        <w:ind w:left="502" w:hanging="360"/>
      </w:pPr>
      <w:r>
        <w:t>the maximum physiological requirement for solid food (including milk) is 25 g/kg body weight/day</w:t>
      </w:r>
    </w:p>
    <w:p w14:paraId="0779473E" w14:textId="77777777" w:rsidR="003D650A" w:rsidRPr="00F55A4F" w:rsidRDefault="003D650A" w:rsidP="003D650A">
      <w:pPr>
        <w:pStyle w:val="FSBullet1"/>
        <w:spacing w:before="0" w:after="0"/>
        <w:ind w:left="502" w:hanging="360"/>
      </w:pPr>
      <w:r w:rsidRPr="00F55A4F">
        <w:rPr>
          <w:szCs w:val="22"/>
        </w:rPr>
        <w:t>50% of solid food is processed</w:t>
      </w:r>
    </w:p>
    <w:p w14:paraId="383C8221" w14:textId="018C97E4" w:rsidR="00B17041" w:rsidRPr="00B17041" w:rsidRDefault="00B17041" w:rsidP="00B17041">
      <w:pPr>
        <w:pStyle w:val="FSBullet1"/>
        <w:spacing w:before="0" w:after="0"/>
        <w:ind w:left="502" w:hanging="360"/>
      </w:pPr>
      <w:r>
        <w:lastRenderedPageBreak/>
        <w:t>all processed solid food contains 25% oils and fats</w:t>
      </w:r>
      <w:r w:rsidR="3F3176F6">
        <w:t xml:space="preserve"> </w:t>
      </w:r>
    </w:p>
    <w:p w14:paraId="4C0F507D" w14:textId="6A07303D" w:rsidR="00B17041" w:rsidRPr="00B17041" w:rsidRDefault="00B17041" w:rsidP="00B17041">
      <w:pPr>
        <w:pStyle w:val="FSBullet1"/>
        <w:spacing w:before="0" w:after="0"/>
        <w:ind w:left="502" w:hanging="360"/>
      </w:pPr>
      <w:r>
        <w:t xml:space="preserve">the maximum physiological requirement for </w:t>
      </w:r>
      <w:r w:rsidR="00D90A6F">
        <w:t>liquid</w:t>
      </w:r>
      <w:r>
        <w:t xml:space="preserve"> is 100 mL/kg body weight/day (the standard level used in a budget method calculation) </w:t>
      </w:r>
    </w:p>
    <w:p w14:paraId="23BBB9EC" w14:textId="3AE70749" w:rsidR="00B17041" w:rsidRPr="00D92013" w:rsidRDefault="00B17041" w:rsidP="00B17041">
      <w:pPr>
        <w:pStyle w:val="FSBullet1"/>
        <w:spacing w:before="0" w:after="0"/>
        <w:ind w:left="502" w:hanging="360"/>
      </w:pPr>
      <w:r>
        <w:t>25% of non-milk beverages are processed</w:t>
      </w:r>
    </w:p>
    <w:p w14:paraId="0586CA56" w14:textId="6C8A58C3" w:rsidR="00D90A6F" w:rsidRDefault="00B17041" w:rsidP="00666FFC">
      <w:pPr>
        <w:pStyle w:val="FSBullet1"/>
        <w:spacing w:before="0" w:after="0"/>
        <w:ind w:left="502" w:hanging="360"/>
      </w:pPr>
      <w:r>
        <w:t>all processed non-milk beverage</w:t>
      </w:r>
      <w:r w:rsidR="00D90A6F">
        <w:t>s</w:t>
      </w:r>
      <w:r>
        <w:t xml:space="preserve"> contain 12% oils and fats</w:t>
      </w:r>
    </w:p>
    <w:p w14:paraId="2998140A" w14:textId="14F491B7" w:rsidR="00D90A6F" w:rsidRPr="00D90A6F" w:rsidRDefault="00D90A6F" w:rsidP="00666FFC">
      <w:pPr>
        <w:pStyle w:val="FSBullet1"/>
        <w:spacing w:before="0" w:after="0"/>
        <w:ind w:left="502" w:hanging="360"/>
      </w:pPr>
      <w:r>
        <w:t>the density of non-milk beverages is ~1</w:t>
      </w:r>
    </w:p>
    <w:p w14:paraId="24F51810" w14:textId="6531845A" w:rsidR="003D650A" w:rsidRPr="00763863" w:rsidRDefault="003D650A" w:rsidP="003D650A">
      <w:pPr>
        <w:pStyle w:val="FSBullet1"/>
        <w:spacing w:before="0" w:after="0"/>
        <w:ind w:left="502" w:hanging="360"/>
      </w:pPr>
      <w:r w:rsidRPr="00763863">
        <w:rPr>
          <w:szCs w:val="22"/>
        </w:rPr>
        <w:t>all of the enzyme remains in the final food</w:t>
      </w:r>
    </w:p>
    <w:p w14:paraId="69A8E48B" w14:textId="0902DFF1" w:rsidR="003D650A" w:rsidRPr="00763863" w:rsidRDefault="003D650A" w:rsidP="003D650A">
      <w:pPr>
        <w:pStyle w:val="FSBullet1"/>
        <w:spacing w:before="0" w:after="0"/>
        <w:ind w:left="502" w:hanging="360"/>
      </w:pPr>
      <w:r>
        <w:t>all solid foods and non-milk beverages contain the highest use level of 0.67 mg TOS/kg raw material (</w:t>
      </w:r>
      <w:r w:rsidR="008935C0">
        <w:t>oils and fats</w:t>
      </w:r>
      <w:r>
        <w:t>).</w:t>
      </w:r>
    </w:p>
    <w:p w14:paraId="3ACACFE0" w14:textId="6D29C468" w:rsidR="003D650A" w:rsidRPr="00763863" w:rsidRDefault="003D650A" w:rsidP="003D650A">
      <w:pPr>
        <w:pStyle w:val="FSBullet1"/>
        <w:numPr>
          <w:ilvl w:val="0"/>
          <w:numId w:val="0"/>
        </w:numPr>
      </w:pPr>
      <w:r w:rsidRPr="00763863">
        <w:t xml:space="preserve">Based on these assumptions, the applicant calculated the TMDI of the enzyme to be </w:t>
      </w:r>
      <w:r>
        <w:t>0.004</w:t>
      </w:r>
      <w:r w:rsidRPr="00B42236">
        <w:t> mg</w:t>
      </w:r>
      <w:r w:rsidRPr="00763863">
        <w:t xml:space="preserve"> TOS/kg body weight/day. </w:t>
      </w:r>
    </w:p>
    <w:p w14:paraId="0C41AA72" w14:textId="6F616CE5" w:rsidR="0033393C" w:rsidRDefault="003D650A" w:rsidP="0033393C">
      <w:r w:rsidRPr="00763863">
        <w:t>As assumptions made by the applicant differ from those that FSANZ would have made in applying the budget method, FSANZ independently calculated the TM</w:t>
      </w:r>
      <w:r>
        <w:t>D</w:t>
      </w:r>
      <w:r w:rsidRPr="00763863">
        <w:t>I using the following assumptions that are conservative and reflective of a first tier</w:t>
      </w:r>
      <w:r>
        <w:t xml:space="preserve"> in estimating dietary exposure:</w:t>
      </w:r>
    </w:p>
    <w:p w14:paraId="58CC724B" w14:textId="0AAC3A35" w:rsidR="003D650A" w:rsidRPr="00763863" w:rsidRDefault="003D650A" w:rsidP="003D650A">
      <w:pPr>
        <w:pStyle w:val="FSBullet1"/>
        <w:spacing w:before="0" w:after="0"/>
        <w:ind w:left="502" w:hanging="360"/>
      </w:pPr>
      <w:r w:rsidRPr="00763863">
        <w:t>The maximum physiological requirement for solid food (including milk) is 50 g/kg body weight/day (the standard level used in a budget method calculation where there is potential for the enzyme to be in baby foods or general purpose foods that would be consumed by infants</w:t>
      </w:r>
      <w:r>
        <w:t>)</w:t>
      </w:r>
      <w:r w:rsidRPr="00763863">
        <w:t>.</w:t>
      </w:r>
    </w:p>
    <w:p w14:paraId="3649879B" w14:textId="77777777" w:rsidR="003D650A" w:rsidRPr="00763863" w:rsidRDefault="003D650A" w:rsidP="003D650A">
      <w:pPr>
        <w:pStyle w:val="FSBullet1"/>
        <w:spacing w:before="0" w:after="0"/>
        <w:ind w:left="502" w:hanging="360"/>
      </w:pPr>
      <w:r w:rsidRPr="00763863">
        <w:rPr>
          <w:szCs w:val="22"/>
        </w:rPr>
        <w:t>FSANZ would generally assume 12.5% of solid foods contain the enzyme based on commonly used default proportions noted in the FAO/WHO Environmental</w:t>
      </w:r>
      <w:r w:rsidRPr="00763863">
        <w:t xml:space="preserve"> Health Criteria (EHC) 240 Chapter 6 on dietary exposure assessment (FAO/WHO 2009). However, the applicant has assumed a higher proportion of 50% based on the nature and extent of use of the enzyme and therefore FSANZ has also used this proportion for solid foods as a worst case scenario.</w:t>
      </w:r>
    </w:p>
    <w:p w14:paraId="713021A2" w14:textId="330F05F7" w:rsidR="003D650A" w:rsidRDefault="003D650A" w:rsidP="003D650A">
      <w:pPr>
        <w:pStyle w:val="FSBullet2"/>
        <w:numPr>
          <w:ilvl w:val="0"/>
          <w:numId w:val="0"/>
        </w:numPr>
        <w:rPr>
          <w:rFonts w:cs="Arial"/>
        </w:rPr>
      </w:pPr>
      <w:r w:rsidRPr="00763863">
        <w:rPr>
          <w:rFonts w:cs="Arial"/>
        </w:rPr>
        <w:t>All other inputs and assumptions used by FSANZ remained as per those used by the applicant. The TMDI based on FSANZ’s calculations for solid food a</w:t>
      </w:r>
      <w:r w:rsidR="008935C0">
        <w:rPr>
          <w:rFonts w:cs="Arial"/>
        </w:rPr>
        <w:t>nd non-</w:t>
      </w:r>
      <w:r>
        <w:rPr>
          <w:rFonts w:cs="Arial"/>
        </w:rPr>
        <w:t>milk beverages is</w:t>
      </w:r>
      <w:r w:rsidRPr="00763863">
        <w:rPr>
          <w:rFonts w:cs="Arial"/>
        </w:rPr>
        <w:t xml:space="preserve"> </w:t>
      </w:r>
      <w:r>
        <w:rPr>
          <w:rFonts w:cs="Arial"/>
        </w:rPr>
        <w:t>0.006</w:t>
      </w:r>
      <w:r w:rsidRPr="00763863">
        <w:rPr>
          <w:rFonts w:cs="Arial"/>
        </w:rPr>
        <w:t xml:space="preserve"> mg TOS/kg body weight/day.</w:t>
      </w:r>
      <w:r>
        <w:rPr>
          <w:rFonts w:cs="Arial"/>
        </w:rPr>
        <w:t xml:space="preserve"> </w:t>
      </w:r>
    </w:p>
    <w:p w14:paraId="03AFBCD7" w14:textId="5D37FCCF" w:rsidR="003D650A" w:rsidRPr="00763863" w:rsidRDefault="003D650A" w:rsidP="003D650A">
      <w:pPr>
        <w:rPr>
          <w:rFonts w:cs="Arial"/>
        </w:rPr>
      </w:pPr>
      <w:r w:rsidRPr="488A3910">
        <w:rPr>
          <w:rFonts w:cs="Arial"/>
        </w:rPr>
        <w:t>Both the FSANZ and applicant’s estimates of the TMDI will be overestimates of the dietary exposure given the conservatisms in the budget method. This includes that it was assumed that the enzyme remains in the final foods whereas the applicant has stated that it is likely to either be reduced or removed during processing, or would be present in insignificant quantities. In addition the enzyme</w:t>
      </w:r>
      <w:r w:rsidR="009048DB">
        <w:rPr>
          <w:rFonts w:cs="Arial"/>
        </w:rPr>
        <w:t xml:space="preserve"> </w:t>
      </w:r>
      <w:r w:rsidRPr="488A3910">
        <w:rPr>
          <w:rFonts w:cs="Arial"/>
        </w:rPr>
        <w:t>would be inactivated and perform no function in the final food to which the ingredient is added.</w:t>
      </w:r>
    </w:p>
    <w:p w14:paraId="52B62FDD" w14:textId="4844F30B" w:rsidR="008472C0" w:rsidRDefault="008472C0" w:rsidP="008472C0">
      <w:pPr>
        <w:keepNext/>
        <w:tabs>
          <w:tab w:val="left" w:pos="5071"/>
        </w:tabs>
        <w:spacing w:before="240" w:after="240"/>
        <w:ind w:left="851" w:hanging="851"/>
        <w:outlineLvl w:val="0"/>
        <w:rPr>
          <w:b/>
          <w:bCs/>
          <w:sz w:val="36"/>
          <w:szCs w:val="28"/>
          <w:lang w:bidi="ar-SA"/>
        </w:rPr>
      </w:pPr>
      <w:bookmarkStart w:id="167" w:name="_Toc85204782"/>
      <w:bookmarkStart w:id="168" w:name="_Toc85211344"/>
      <w:bookmarkStart w:id="169" w:name="_Toc87259319"/>
      <w:bookmarkStart w:id="170" w:name="_Toc107223016"/>
      <w:r w:rsidRPr="008472C0">
        <w:rPr>
          <w:b/>
          <w:bCs/>
          <w:sz w:val="36"/>
          <w:szCs w:val="28"/>
          <w:lang w:bidi="ar-SA"/>
        </w:rPr>
        <w:t>4</w:t>
      </w:r>
      <w:r w:rsidRPr="008472C0">
        <w:rPr>
          <w:b/>
          <w:bCs/>
          <w:sz w:val="36"/>
          <w:szCs w:val="28"/>
          <w:lang w:bidi="ar-SA"/>
        </w:rPr>
        <w:tab/>
        <w:t>Discussion</w:t>
      </w:r>
      <w:bookmarkEnd w:id="167"/>
      <w:bookmarkEnd w:id="168"/>
      <w:bookmarkEnd w:id="169"/>
      <w:bookmarkEnd w:id="170"/>
    </w:p>
    <w:p w14:paraId="269BF342" w14:textId="7C8CB05D" w:rsidR="00E25708" w:rsidRPr="00AC3A80" w:rsidRDefault="00E25708" w:rsidP="00E25708">
      <w:pPr>
        <w:rPr>
          <w:lang w:val="en-AU" w:bidi="ar-SA"/>
        </w:rPr>
      </w:pPr>
      <w:r>
        <w:rPr>
          <w:lang w:eastAsia="en-AU" w:bidi="ar-SA"/>
        </w:rPr>
        <w:t>FSANZ concludes that the proposed use of this phospholipase A</w:t>
      </w:r>
      <w:r w:rsidRPr="00A2763F">
        <w:rPr>
          <w:lang w:eastAsia="en-AU" w:bidi="ar-SA"/>
        </w:rPr>
        <w:t>1</w:t>
      </w:r>
      <w:r>
        <w:rPr>
          <w:lang w:eastAsia="en-AU" w:bidi="ar-SA"/>
        </w:rPr>
        <w:t xml:space="preserve"> as an enzyme in the </w:t>
      </w:r>
      <w:r w:rsidR="009048DB">
        <w:rPr>
          <w:lang w:eastAsia="en-AU" w:bidi="ar-SA"/>
        </w:rPr>
        <w:t>processing of</w:t>
      </w:r>
      <w:r w:rsidRPr="005E5797">
        <w:rPr>
          <w:lang w:eastAsia="en-AU" w:bidi="ar-SA"/>
        </w:rPr>
        <w:t xml:space="preserve"> vegetable oils </w:t>
      </w:r>
      <w:r>
        <w:rPr>
          <w:lang w:eastAsia="en-AU" w:bidi="ar-SA"/>
        </w:rPr>
        <w:t xml:space="preserve">is consistent with </w:t>
      </w:r>
      <w:r w:rsidRPr="000B08E1">
        <w:rPr>
          <w:lang w:eastAsia="en-AU" w:bidi="ar-SA"/>
        </w:rPr>
        <w:t>its typical function</w:t>
      </w:r>
      <w:r w:rsidR="009048DB" w:rsidRPr="009048DB">
        <w:t xml:space="preserve"> </w:t>
      </w:r>
      <w:r w:rsidR="009048DB" w:rsidRPr="009048DB">
        <w:rPr>
          <w:lang w:eastAsia="en-AU" w:bidi="ar-SA"/>
        </w:rPr>
        <w:t>of catalysing the hydrolysis of phospholipids</w:t>
      </w:r>
      <w:r>
        <w:rPr>
          <w:lang w:eastAsia="en-AU" w:bidi="ar-SA"/>
        </w:rPr>
        <w:t xml:space="preserve">. </w:t>
      </w:r>
      <w:r>
        <w:t>T</w:t>
      </w:r>
      <w:r w:rsidRPr="00F00B9A">
        <w:t>he evidence presented to support the proposed use</w:t>
      </w:r>
      <w:r w:rsidRPr="00D41CB3">
        <w:t xml:space="preserve"> </w:t>
      </w:r>
      <w:r w:rsidRPr="00F00B9A">
        <w:t xml:space="preserve">provides adequate assurance that </w:t>
      </w:r>
      <w:r w:rsidRPr="00AC3A80">
        <w:rPr>
          <w:lang w:val="en-AU" w:bidi="ar-SA"/>
        </w:rPr>
        <w:t xml:space="preserve">the use of the enzyme, in the form </w:t>
      </w:r>
      <w:r>
        <w:rPr>
          <w:lang w:val="en-AU" w:bidi="ar-SA"/>
        </w:rPr>
        <w:t>and requested amount (i.e. at a level consistent with GMP)</w:t>
      </w:r>
      <w:r w:rsidRPr="00AC3A80">
        <w:rPr>
          <w:lang w:val="en-AU" w:bidi="ar-SA"/>
        </w:rPr>
        <w:t>, is technologically justified</w:t>
      </w:r>
      <w:r>
        <w:rPr>
          <w:lang w:val="en-AU" w:bidi="ar-SA"/>
        </w:rPr>
        <w:t xml:space="preserve"> and has been demonstrated to be effective in achieving its stated purpose.</w:t>
      </w:r>
    </w:p>
    <w:p w14:paraId="47CFEB91" w14:textId="2FD2F637" w:rsidR="00E25708" w:rsidRDefault="00E25708" w:rsidP="00E25708">
      <w:pPr>
        <w:rPr>
          <w:lang w:eastAsia="en-AU" w:bidi="ar-SA"/>
        </w:rPr>
      </w:pPr>
      <w:r>
        <w:rPr>
          <w:lang w:eastAsia="en-AU" w:bidi="ar-SA"/>
        </w:rPr>
        <w:t>Phospholipase A</w:t>
      </w:r>
      <w:r w:rsidRPr="00A2763F">
        <w:rPr>
          <w:lang w:eastAsia="en-AU" w:bidi="ar-SA"/>
        </w:rPr>
        <w:t>1</w:t>
      </w:r>
      <w:r>
        <w:rPr>
          <w:lang w:eastAsia="en-AU" w:bidi="ar-SA"/>
        </w:rPr>
        <w:t xml:space="preserve"> performs its technological purpose during the production of food and is not performing a technological purpose in the final food. </w:t>
      </w:r>
      <w:r w:rsidRPr="00F00B9A">
        <w:t xml:space="preserve">It is therefore appropriately categorised as a processing aid </w:t>
      </w:r>
      <w:r w:rsidR="006D2F16">
        <w:t>for the purposes of</w:t>
      </w:r>
      <w:r>
        <w:t xml:space="preserve"> the Code</w:t>
      </w:r>
      <w:r w:rsidRPr="00F00B9A">
        <w:t>.</w:t>
      </w:r>
    </w:p>
    <w:p w14:paraId="0E8CE32F" w14:textId="77777777" w:rsidR="00E25708" w:rsidRPr="003A01FB" w:rsidRDefault="00E25708" w:rsidP="00E25708">
      <w:r>
        <w:rPr>
          <w:lang w:eastAsia="en-AU" w:bidi="ar-SA"/>
        </w:rPr>
        <w:t>There are relevant identity and purity specifications for the enzyme in the Code and the applicant provided evidence that the enzyme meets these specifications.</w:t>
      </w:r>
    </w:p>
    <w:p w14:paraId="5E14AC7F" w14:textId="7A0C18EC" w:rsidR="009C737E" w:rsidRPr="006F7120" w:rsidRDefault="009C737E" w:rsidP="006F7120">
      <w:r w:rsidRPr="00EE166A">
        <w:rPr>
          <w:lang w:val="en-AU"/>
        </w:rPr>
        <w:lastRenderedPageBreak/>
        <w:t xml:space="preserve">No public health and safety concerns were identified in the assessment of </w:t>
      </w:r>
      <w:r w:rsidRPr="00EE166A">
        <w:t xml:space="preserve">phospholipase A1 </w:t>
      </w:r>
      <w:r w:rsidRPr="00EE166A">
        <w:rPr>
          <w:lang w:val="en-AU" w:eastAsia="en-AU" w:bidi="ar-SA"/>
        </w:rPr>
        <w:t>from GM</w:t>
      </w:r>
      <w:r w:rsidRPr="00EE166A">
        <w:rPr>
          <w:lang w:val="en-AU"/>
        </w:rPr>
        <w:t xml:space="preserve"> </w:t>
      </w:r>
      <w:r w:rsidRPr="003E7C13">
        <w:rPr>
          <w:i/>
        </w:rPr>
        <w:t>A</w:t>
      </w:r>
      <w:r w:rsidRPr="008F2F68">
        <w:t>.</w:t>
      </w:r>
      <w:r w:rsidRPr="003E7C13">
        <w:rPr>
          <w:i/>
        </w:rPr>
        <w:t xml:space="preserve"> niger</w:t>
      </w:r>
      <w:r w:rsidRPr="00EE166A">
        <w:rPr>
          <w:lang w:val="en-AU"/>
        </w:rPr>
        <w:t xml:space="preserve"> under the proposed use conditions. </w:t>
      </w:r>
      <w:r w:rsidRPr="00EE166A">
        <w:rPr>
          <w:i/>
          <w:lang w:bidi="ar-SA"/>
        </w:rPr>
        <w:t>A</w:t>
      </w:r>
      <w:r w:rsidRPr="00EE166A">
        <w:rPr>
          <w:lang w:bidi="ar-SA"/>
        </w:rPr>
        <w:t xml:space="preserve">. </w:t>
      </w:r>
      <w:r w:rsidRPr="003E7C13">
        <w:rPr>
          <w:i/>
        </w:rPr>
        <w:t>niger</w:t>
      </w:r>
      <w:r w:rsidRPr="00EE166A">
        <w:rPr>
          <w:lang w:val="en-AU"/>
        </w:rPr>
        <w:t xml:space="preserve"> </w:t>
      </w:r>
      <w:r w:rsidRPr="00EE166A">
        <w:rPr>
          <w:lang w:bidi="ar-SA"/>
        </w:rPr>
        <w:t>has a long history of safe use as a source of enzyme processing aids, including</w:t>
      </w:r>
      <w:r w:rsidRPr="00FC1DB4">
        <w:rPr>
          <w:lang w:bidi="ar-SA"/>
        </w:rPr>
        <w:t xml:space="preserve"> </w:t>
      </w:r>
      <w:r>
        <w:rPr>
          <w:lang w:bidi="ar-SA"/>
        </w:rPr>
        <w:t>many</w:t>
      </w:r>
      <w:r w:rsidRPr="00FC1DB4">
        <w:rPr>
          <w:lang w:bidi="ar-SA"/>
        </w:rPr>
        <w:t xml:space="preserve"> that are already permitted in the Code.</w:t>
      </w:r>
      <w:r>
        <w:rPr>
          <w:lang w:bidi="ar-SA"/>
        </w:rPr>
        <w:t xml:space="preserve"> </w:t>
      </w:r>
      <w:r>
        <w:rPr>
          <w:lang w:val="en-AU"/>
        </w:rPr>
        <w:t>The</w:t>
      </w:r>
      <w:r w:rsidRPr="004E38D4">
        <w:rPr>
          <w:lang w:val="en-AU"/>
        </w:rPr>
        <w:t xml:space="preserve"> </w:t>
      </w:r>
      <w:r w:rsidRPr="00376FBE">
        <w:rPr>
          <w:i/>
          <w:lang w:val="en-AU"/>
        </w:rPr>
        <w:t>A</w:t>
      </w:r>
      <w:r w:rsidRPr="00EE10FE">
        <w:rPr>
          <w:lang w:val="en-AU"/>
        </w:rPr>
        <w:t xml:space="preserve">. </w:t>
      </w:r>
      <w:r w:rsidRPr="003E7C13">
        <w:rPr>
          <w:i/>
        </w:rPr>
        <w:t>niger</w:t>
      </w:r>
      <w:r w:rsidRPr="00EE166A">
        <w:rPr>
          <w:lang w:val="en-AU"/>
        </w:rPr>
        <w:t xml:space="preserve"> </w:t>
      </w:r>
      <w:r>
        <w:rPr>
          <w:lang w:val="en-AU"/>
        </w:rPr>
        <w:t>host is neither</w:t>
      </w:r>
      <w:r w:rsidRPr="004E38D4">
        <w:rPr>
          <w:lang w:val="en-AU"/>
        </w:rPr>
        <w:t xml:space="preserve"> </w:t>
      </w:r>
      <w:r>
        <w:rPr>
          <w:lang w:val="en-AU"/>
        </w:rPr>
        <w:t xml:space="preserve">pathogenic or </w:t>
      </w:r>
      <w:r w:rsidRPr="004E38D4">
        <w:rPr>
          <w:lang w:val="en-AU"/>
        </w:rPr>
        <w:t>toxigenic.</w:t>
      </w:r>
      <w:r>
        <w:rPr>
          <w:lang w:val="en-AU"/>
        </w:rPr>
        <w:t xml:space="preserve"> </w:t>
      </w:r>
    </w:p>
    <w:p w14:paraId="49CC9AD2" w14:textId="158D62C4" w:rsidR="00E25708" w:rsidRPr="00E25708" w:rsidRDefault="00E25708" w:rsidP="00E25708">
      <w:pPr>
        <w:rPr>
          <w:rFonts w:eastAsia="Calibri"/>
          <w:szCs w:val="22"/>
          <w:lang w:bidi="ar-SA"/>
        </w:rPr>
      </w:pPr>
      <w:r w:rsidRPr="583295C5">
        <w:rPr>
          <w:rFonts w:eastAsia="Calibri"/>
          <w:lang w:eastAsia="en-AU" w:bidi="ar-SA"/>
        </w:rPr>
        <w:t xml:space="preserve">The gene that encodes the phospholipase A1 gene was synthesised </w:t>
      </w:r>
      <w:r w:rsidRPr="583295C5">
        <w:rPr>
          <w:rFonts w:eastAsia="Calibri"/>
          <w:i/>
          <w:iCs/>
          <w:lang w:eastAsia="en-AU" w:bidi="ar-SA"/>
        </w:rPr>
        <w:t>in vitro</w:t>
      </w:r>
      <w:r w:rsidR="583295C5" w:rsidRPr="583295C5">
        <w:rPr>
          <w:rFonts w:eastAsia="Calibri"/>
          <w:lang w:eastAsia="en-AU" w:bidi="ar-SA"/>
        </w:rPr>
        <w:t xml:space="preserve"> </w:t>
      </w:r>
      <w:r w:rsidRPr="583295C5">
        <w:rPr>
          <w:rFonts w:eastAsia="Calibri"/>
          <w:lang w:eastAsia="en-AU" w:bidi="ar-SA"/>
        </w:rPr>
        <w:t xml:space="preserve">based on the sequence from </w:t>
      </w:r>
      <w:r w:rsidR="009206D0">
        <w:rPr>
          <w:i/>
        </w:rPr>
        <w:t>E.</w:t>
      </w:r>
      <w:r w:rsidR="009206D0">
        <w:t xml:space="preserve"> </w:t>
      </w:r>
      <w:r w:rsidR="009206D0">
        <w:rPr>
          <w:i/>
        </w:rPr>
        <w:t>leycettana</w:t>
      </w:r>
      <w:r w:rsidR="009206D0">
        <w:t xml:space="preserve"> </w:t>
      </w:r>
      <w:r w:rsidRPr="583295C5">
        <w:rPr>
          <w:rFonts w:eastAsia="Calibri"/>
          <w:lang w:eastAsia="en-AU" w:bidi="ar-SA"/>
        </w:rPr>
        <w:t>available in public databases. Data provided by the applicant and analysed by FSANZ confirmed the expected phospholipase A1 amino acid sequence.</w:t>
      </w:r>
      <w:r w:rsidR="0050662F">
        <w:rPr>
          <w:rFonts w:eastAsia="Calibri"/>
          <w:lang w:eastAsia="en-AU" w:bidi="ar-SA"/>
        </w:rPr>
        <w:t xml:space="preserve"> </w:t>
      </w:r>
      <w:r w:rsidRPr="00E25708">
        <w:rPr>
          <w:rFonts w:eastAsia="Calibri"/>
          <w:szCs w:val="22"/>
          <w:lang w:bidi="ar-SA"/>
        </w:rPr>
        <w:t xml:space="preserve">The assessment </w:t>
      </w:r>
      <w:r w:rsidR="0050662F">
        <w:rPr>
          <w:rFonts w:eastAsia="Calibri"/>
          <w:szCs w:val="22"/>
          <w:lang w:bidi="ar-SA"/>
        </w:rPr>
        <w:t xml:space="preserve">also </w:t>
      </w:r>
      <w:r w:rsidRPr="00E25708">
        <w:rPr>
          <w:rFonts w:eastAsia="Calibri"/>
          <w:szCs w:val="22"/>
          <w:lang w:bidi="ar-SA"/>
        </w:rPr>
        <w:t xml:space="preserve">confirmed the inserted gene is integrated into the genome of the production strain </w:t>
      </w:r>
      <w:r w:rsidR="0050662F">
        <w:rPr>
          <w:rFonts w:eastAsia="Calibri"/>
          <w:szCs w:val="22"/>
          <w:lang w:bidi="ar-SA"/>
        </w:rPr>
        <w:t>and is</w:t>
      </w:r>
      <w:r w:rsidRPr="00E25708">
        <w:rPr>
          <w:rFonts w:eastAsia="Calibri"/>
          <w:szCs w:val="22"/>
          <w:lang w:bidi="ar-SA"/>
        </w:rPr>
        <w:t xml:space="preserve"> stabl</w:t>
      </w:r>
      <w:r w:rsidR="0050662F">
        <w:rPr>
          <w:rFonts w:eastAsia="Calibri"/>
          <w:szCs w:val="22"/>
          <w:lang w:bidi="ar-SA"/>
        </w:rPr>
        <w:t>y expressed over multiple generations</w:t>
      </w:r>
      <w:r w:rsidRPr="00E25708">
        <w:rPr>
          <w:rFonts w:eastAsia="Calibri"/>
          <w:szCs w:val="22"/>
          <w:lang w:bidi="ar-SA"/>
        </w:rPr>
        <w:t xml:space="preserve">. </w:t>
      </w:r>
    </w:p>
    <w:p w14:paraId="4CE1CE43" w14:textId="58F80312" w:rsidR="00E25708" w:rsidRPr="00E25708" w:rsidRDefault="00E25708" w:rsidP="0033393C">
      <w:pPr>
        <w:spacing w:before="240" w:after="240"/>
        <w:rPr>
          <w:rFonts w:cs="Arial"/>
          <w:color w:val="95B3D7" w:themeColor="accent1" w:themeTint="99"/>
          <w:lang w:eastAsia="en-AU" w:bidi="ar-SA"/>
        </w:rPr>
      </w:pPr>
      <w:r w:rsidRPr="3CEA6639">
        <w:rPr>
          <w:lang w:eastAsia="en-AU" w:bidi="ar-SA"/>
        </w:rPr>
        <w:t>The enzyme has been approved for use in Denmark and France since 2018, and Brazil and Mexico since 2019. Confidential sales volume data were provided by the applicant to confirm that it has been sold for commercial use in countries in which specific approval is not required.</w:t>
      </w:r>
      <w:r w:rsidR="00357425" w:rsidRPr="3CEA6639">
        <w:rPr>
          <w:lang w:eastAsia="en-AU" w:bidi="ar-SA"/>
        </w:rPr>
        <w:t xml:space="preserve"> </w:t>
      </w:r>
      <w:r w:rsidRPr="3CEA6639">
        <w:rPr>
          <w:rFonts w:cs="Arial"/>
          <w:lang w:eastAsia="en-AU" w:bidi="ar-SA"/>
        </w:rPr>
        <w:t xml:space="preserve">The enzyme does not show any appreciable sequence homology with known toxins. </w:t>
      </w:r>
      <w:r w:rsidR="000D6C6F" w:rsidRPr="3CEA6639">
        <w:rPr>
          <w:rFonts w:cs="Arial"/>
          <w:lang w:eastAsia="en-AU" w:bidi="ar-SA"/>
        </w:rPr>
        <w:t xml:space="preserve">No treatment-related adverse effects were observed in </w:t>
      </w:r>
      <w:r w:rsidRPr="3CEA6639">
        <w:rPr>
          <w:rFonts w:cs="Arial"/>
          <w:lang w:eastAsia="en-AU" w:bidi="ar-SA"/>
        </w:rPr>
        <w:t xml:space="preserve">a 90-day oral gavage study in rats. </w:t>
      </w:r>
      <w:r w:rsidRPr="3CEA6639">
        <w:rPr>
          <w:lang w:eastAsia="en-AU" w:bidi="ar-SA"/>
        </w:rPr>
        <w:t>It was concluded that the NOAEL was the highest dose tested, 1356 mg TOS/kg bw/day.</w:t>
      </w:r>
      <w:r w:rsidRPr="3CEA6639">
        <w:rPr>
          <w:rFonts w:cs="Arial"/>
          <w:lang w:eastAsia="en-AU" w:bidi="ar-SA"/>
        </w:rPr>
        <w:t xml:space="preserve"> </w:t>
      </w:r>
      <w:r w:rsidR="000D6C6F" w:rsidRPr="3CEA6639">
        <w:rPr>
          <w:rFonts w:cs="Arial"/>
          <w:lang w:eastAsia="en-AU" w:bidi="ar-SA"/>
        </w:rPr>
        <w:t xml:space="preserve">The enzyme was not genotoxic </w:t>
      </w:r>
      <w:r w:rsidR="000D6C6F" w:rsidRPr="3CEA6639">
        <w:rPr>
          <w:rFonts w:cs="Arial"/>
          <w:i/>
          <w:iCs/>
          <w:lang w:eastAsia="en-AU" w:bidi="ar-SA"/>
        </w:rPr>
        <w:t>in vitro</w:t>
      </w:r>
      <w:r w:rsidRPr="3CEA6639">
        <w:rPr>
          <w:rFonts w:cs="Arial"/>
          <w:lang w:eastAsia="en-AU" w:bidi="ar-SA"/>
        </w:rPr>
        <w:t xml:space="preserve">. Results of a sequence homology assessment </w:t>
      </w:r>
      <w:r w:rsidR="000D6C6F" w:rsidRPr="3CEA6639">
        <w:rPr>
          <w:rFonts w:cs="Arial"/>
          <w:lang w:eastAsia="en-AU" w:bidi="ar-SA"/>
        </w:rPr>
        <w:t xml:space="preserve">found no significant homology to </w:t>
      </w:r>
      <w:r w:rsidRPr="3CEA6639">
        <w:rPr>
          <w:rFonts w:cs="Arial"/>
          <w:lang w:eastAsia="en-AU" w:bidi="ar-SA"/>
        </w:rPr>
        <w:t xml:space="preserve">known allergens </w:t>
      </w:r>
      <w:r w:rsidR="000D6C6F">
        <w:t>and the enzyme is not anticipated to pose any allergenic concern in food</w:t>
      </w:r>
      <w:r w:rsidRPr="3CEA6639">
        <w:rPr>
          <w:rFonts w:cs="Arial"/>
          <w:lang w:eastAsia="en-AU" w:bidi="ar-SA"/>
        </w:rPr>
        <w:t xml:space="preserve">. </w:t>
      </w:r>
    </w:p>
    <w:p w14:paraId="5E73FB9C" w14:textId="08E22B8D" w:rsidR="00E25708" w:rsidRDefault="00E25708" w:rsidP="00E25708">
      <w:r>
        <w:t xml:space="preserve">The TMDI based on FSANZ’s calculations for solid food and non-milk beverages is 0.006 mg TOS/kg body weight/day. Comparison of the NOAEL and the TMDI results in a </w:t>
      </w:r>
      <w:r w:rsidR="00A34D24">
        <w:t xml:space="preserve">margin </w:t>
      </w:r>
      <w:r>
        <w:t xml:space="preserve">of </w:t>
      </w:r>
      <w:r w:rsidR="00A34D24">
        <w:t xml:space="preserve">exposure </w:t>
      </w:r>
      <w:r>
        <w:t xml:space="preserve">(MOE) of around 226,000. </w:t>
      </w:r>
    </w:p>
    <w:p w14:paraId="3257238D" w14:textId="49ADA19D" w:rsidR="008472C0" w:rsidRDefault="008472C0" w:rsidP="008472C0">
      <w:pPr>
        <w:keepNext/>
        <w:spacing w:before="240" w:after="240"/>
        <w:ind w:left="851" w:hanging="851"/>
        <w:outlineLvl w:val="0"/>
        <w:rPr>
          <w:b/>
          <w:bCs/>
          <w:sz w:val="36"/>
          <w:szCs w:val="28"/>
          <w:lang w:bidi="ar-SA"/>
        </w:rPr>
      </w:pPr>
      <w:bookmarkStart w:id="171" w:name="_Toc30154619"/>
      <w:bookmarkStart w:id="172" w:name="_Toc85204783"/>
      <w:bookmarkStart w:id="173" w:name="_Toc85211345"/>
      <w:bookmarkStart w:id="174" w:name="_Toc87259320"/>
      <w:bookmarkStart w:id="175" w:name="_Toc107223017"/>
      <w:r w:rsidRPr="008472C0">
        <w:rPr>
          <w:b/>
          <w:bCs/>
          <w:sz w:val="36"/>
          <w:szCs w:val="28"/>
          <w:lang w:bidi="ar-SA"/>
        </w:rPr>
        <w:t>5</w:t>
      </w:r>
      <w:r w:rsidRPr="008472C0">
        <w:rPr>
          <w:b/>
          <w:bCs/>
          <w:sz w:val="36"/>
          <w:szCs w:val="28"/>
          <w:lang w:bidi="ar-SA"/>
        </w:rPr>
        <w:tab/>
        <w:t>Conclusion</w:t>
      </w:r>
      <w:bookmarkEnd w:id="171"/>
      <w:bookmarkEnd w:id="172"/>
      <w:bookmarkEnd w:id="173"/>
      <w:bookmarkEnd w:id="174"/>
      <w:bookmarkEnd w:id="175"/>
    </w:p>
    <w:p w14:paraId="3F51D562" w14:textId="5FB483D8" w:rsidR="00E25708" w:rsidRPr="00357425" w:rsidRDefault="00E25708" w:rsidP="00E25708">
      <w:pPr>
        <w:rPr>
          <w:lang w:bidi="ar-SA"/>
        </w:rPr>
      </w:pPr>
      <w:r w:rsidRPr="3CEA6639">
        <w:rPr>
          <w:lang w:bidi="ar-SA"/>
        </w:rPr>
        <w:t xml:space="preserve">In </w:t>
      </w:r>
      <w:r>
        <w:t xml:space="preserve">the absence of any identifiable hazard an ADI ‘not specified’ is appropriate for </w:t>
      </w:r>
      <w:r w:rsidR="00357425">
        <w:t>phospholipase A1</w:t>
      </w:r>
      <w:r>
        <w:t xml:space="preserve"> from</w:t>
      </w:r>
      <w:r w:rsidR="0027125A" w:rsidRPr="3CEA6639">
        <w:rPr>
          <w:i/>
          <w:iCs/>
        </w:rPr>
        <w:t xml:space="preserve"> </w:t>
      </w:r>
      <w:r w:rsidR="009206D0" w:rsidRPr="3CEA6639">
        <w:rPr>
          <w:i/>
          <w:iCs/>
        </w:rPr>
        <w:t>E.</w:t>
      </w:r>
      <w:r w:rsidR="009206D0">
        <w:t xml:space="preserve"> </w:t>
      </w:r>
      <w:r w:rsidR="009206D0" w:rsidRPr="3CEA6639">
        <w:rPr>
          <w:i/>
          <w:iCs/>
        </w:rPr>
        <w:t>leycettana</w:t>
      </w:r>
      <w:r>
        <w:t xml:space="preserve">, expressed in GM </w:t>
      </w:r>
      <w:r w:rsidR="00047192" w:rsidRPr="3CEA6639">
        <w:rPr>
          <w:i/>
          <w:iCs/>
        </w:rPr>
        <w:t>A</w:t>
      </w:r>
      <w:r w:rsidR="00047192">
        <w:rPr>
          <w:i/>
          <w:iCs/>
        </w:rPr>
        <w:t>.</w:t>
      </w:r>
      <w:r w:rsidR="00357425" w:rsidRPr="3CEA6639">
        <w:rPr>
          <w:i/>
          <w:iCs/>
        </w:rPr>
        <w:t>niger</w:t>
      </w:r>
      <w:r>
        <w:t>.</w:t>
      </w:r>
    </w:p>
    <w:p w14:paraId="53FBB223" w14:textId="7E43196B" w:rsidR="008472C0" w:rsidRPr="008472C0" w:rsidRDefault="008472C0" w:rsidP="008472C0">
      <w:pPr>
        <w:keepNext/>
        <w:spacing w:before="240" w:after="240"/>
        <w:ind w:left="851" w:hanging="851"/>
        <w:outlineLvl w:val="0"/>
        <w:rPr>
          <w:b/>
          <w:bCs/>
          <w:sz w:val="36"/>
          <w:szCs w:val="28"/>
          <w:lang w:bidi="ar-SA"/>
        </w:rPr>
      </w:pPr>
      <w:bookmarkStart w:id="176" w:name="_Toc30154620"/>
      <w:bookmarkStart w:id="177" w:name="_Toc85204784"/>
      <w:bookmarkStart w:id="178" w:name="_Toc85211346"/>
      <w:bookmarkStart w:id="179" w:name="_Toc87259321"/>
      <w:bookmarkStart w:id="180" w:name="_Toc107223018"/>
      <w:r w:rsidRPr="008472C0">
        <w:rPr>
          <w:b/>
          <w:bCs/>
          <w:sz w:val="36"/>
          <w:szCs w:val="28"/>
          <w:lang w:bidi="ar-SA"/>
        </w:rPr>
        <w:t>6</w:t>
      </w:r>
      <w:r w:rsidRPr="008472C0">
        <w:rPr>
          <w:b/>
          <w:bCs/>
          <w:sz w:val="36"/>
          <w:szCs w:val="28"/>
          <w:lang w:bidi="ar-SA"/>
        </w:rPr>
        <w:tab/>
        <w:t>References</w:t>
      </w:r>
      <w:bookmarkEnd w:id="176"/>
      <w:bookmarkEnd w:id="177"/>
      <w:bookmarkEnd w:id="178"/>
      <w:bookmarkEnd w:id="179"/>
      <w:bookmarkEnd w:id="180"/>
    </w:p>
    <w:p w14:paraId="01724A63" w14:textId="77777777" w:rsidR="00666FFC" w:rsidRDefault="00666FFC" w:rsidP="00637835">
      <w:r>
        <w:t>Casado V, Martin D, Torres C, Reglero G (2012). Phospholipases in Food Industry: A Review. In Methods in Molecular Biology vol. 861, DOI 10.1007/978-1-61779-600-5_29, Springer Science+Business Media, New York</w:t>
      </w:r>
    </w:p>
    <w:p w14:paraId="503E3B33" w14:textId="667068D3" w:rsidR="00666FFC" w:rsidRDefault="00666FFC" w:rsidP="00637835">
      <w:r w:rsidRPr="00994F4B">
        <w:rPr>
          <w:rFonts w:cs="Arial"/>
          <w:szCs w:val="22"/>
        </w:rPr>
        <w:t>Chang A, Jeske L, Ulbrich S, Hofmann J, Koblitz J, Schomburg I, Neumann-Schaal M, Jahn D, Schomburg D (2021) BRENDA, the ELIXIR core data resource in 2021: new developments and upda</w:t>
      </w:r>
      <w:r>
        <w:rPr>
          <w:rFonts w:cs="Arial"/>
          <w:szCs w:val="22"/>
        </w:rPr>
        <w:t>tes. Nucleic Acids Res. 49:D498–</w:t>
      </w:r>
      <w:r w:rsidRPr="00994F4B">
        <w:rPr>
          <w:rFonts w:cs="Arial"/>
          <w:szCs w:val="22"/>
        </w:rPr>
        <w:t>D508. DOI: 10.1093/nar/gkaa1025</w:t>
      </w:r>
    </w:p>
    <w:p w14:paraId="3AE5CA03" w14:textId="21F7AC86" w:rsidR="00637835" w:rsidRPr="00637835" w:rsidRDefault="00637835" w:rsidP="00637835">
      <w:r w:rsidRPr="00637835">
        <w:t xml:space="preserve">Corrick CM, Twomey AP, Hynes MJ (1987) </w:t>
      </w:r>
      <w:r w:rsidR="00373002">
        <w:t>‘</w:t>
      </w:r>
      <w:r w:rsidRPr="00637835">
        <w:t xml:space="preserve">The nucleotide sequence of the </w:t>
      </w:r>
      <w:r w:rsidRPr="00373002">
        <w:rPr>
          <w:i/>
        </w:rPr>
        <w:t>amdS</w:t>
      </w:r>
      <w:r w:rsidRPr="00637835">
        <w:t xml:space="preserve"> gene of </w:t>
      </w:r>
      <w:r w:rsidRPr="00373002">
        <w:rPr>
          <w:i/>
        </w:rPr>
        <w:t>Aspergillus nidulans</w:t>
      </w:r>
      <w:r w:rsidRPr="00637835">
        <w:t xml:space="preserve"> and the molecular characterization of 5’ mutations</w:t>
      </w:r>
      <w:r w:rsidR="00373002">
        <w:t>’</w:t>
      </w:r>
      <w:r w:rsidRPr="00637835">
        <w:t xml:space="preserve">. Gene, 53, 63-71. </w:t>
      </w:r>
    </w:p>
    <w:p w14:paraId="3EF3BE46" w14:textId="77777777" w:rsidR="00666FFC" w:rsidRDefault="003D650A" w:rsidP="003D650A">
      <w:r w:rsidRPr="008935C0">
        <w:t>Douglass JS, Barraj LM, Tennant DR, Long WR and Chaisson CF (1997) ‘Evaluation of the Budget Method for screening food additive intakes’ Food Additives and Contaminants 14(8):791-802</w:t>
      </w:r>
    </w:p>
    <w:p w14:paraId="1E5EBFBD" w14:textId="3D736ECA" w:rsidR="003D650A" w:rsidRDefault="00666FFC" w:rsidP="003D650A">
      <w:r w:rsidRPr="00AE229F">
        <w:rPr>
          <w:rFonts w:cs="Arial"/>
          <w:szCs w:val="22"/>
        </w:rPr>
        <w:t xml:space="preserve">FAO/WHO (Food and Agriculture Organization of the United Nations/World Health Organization), 2006. General specifications and considerations for enzyme preparations used in food processing in Compendium of food additive specifications. </w:t>
      </w:r>
      <w:r w:rsidRPr="00AE229F">
        <w:rPr>
          <w:rFonts w:cs="Arial"/>
          <w:szCs w:val="22"/>
        </w:rPr>
        <w:lastRenderedPageBreak/>
        <w:t xml:space="preserve">67th meeting. FAO JECFA Monographs, 3, 63–67. Available online: </w:t>
      </w:r>
      <w:hyperlink r:id="rId17" w:history="1">
        <w:r w:rsidRPr="00AE229F">
          <w:rPr>
            <w:rStyle w:val="Hyperlink"/>
            <w:szCs w:val="22"/>
          </w:rPr>
          <w:t>Compendium of Food Additive Specifications. Joint FAO/WHO Expert Committee on Food Additives (JECFA), 67th meeting 2006. FAO JECFA Monographs 3</w:t>
        </w:r>
      </w:hyperlink>
    </w:p>
    <w:p w14:paraId="5C9589BA" w14:textId="77777777" w:rsidR="00D90A6F" w:rsidRDefault="00D90A6F" w:rsidP="00D90A6F">
      <w:r>
        <w:t>FAO/WHO (2009) ‘Environmental Health Criteria 240. Principles and methods for the risk assessment of chemicals in food’ Chapter 6 – Dietary exposure assessment of chemicals in food, WHO, Geneva.</w:t>
      </w:r>
    </w:p>
    <w:p w14:paraId="3F1D0BEE" w14:textId="1D12E596" w:rsidR="3CEA6639" w:rsidRDefault="3CEA6639">
      <w:r w:rsidRPr="3CEA6639">
        <w:rPr>
          <w:rFonts w:eastAsia="Arial" w:cs="Arial"/>
          <w:color w:val="000000" w:themeColor="text1"/>
          <w:szCs w:val="22"/>
        </w:rPr>
        <w:t xml:space="preserve">FAO/WHO (2020) </w:t>
      </w:r>
      <w:r w:rsidRPr="3CEA6639">
        <w:rPr>
          <w:rFonts w:eastAsia="Arial" w:cs="Arial"/>
          <w:szCs w:val="22"/>
        </w:rPr>
        <w:t xml:space="preserve">Environmental Health Criteria 240. Principles and Methods for the Risk Assessment of Chemicals in Food. </w:t>
      </w:r>
      <w:r w:rsidRPr="3CEA6639">
        <w:rPr>
          <w:rFonts w:eastAsia="Arial" w:cs="Arial"/>
          <w:color w:val="000000" w:themeColor="text1"/>
          <w:szCs w:val="22"/>
        </w:rPr>
        <w:t xml:space="preserve">Chapter 6: Dietary exposure assessment of chemicals in food. Second Edition 2020. WHO, Geneva. </w:t>
      </w:r>
      <w:hyperlink r:id="rId18" w:history="1">
        <w:r w:rsidRPr="3CEA6639">
          <w:rPr>
            <w:rStyle w:val="Hyperlink"/>
            <w:szCs w:val="22"/>
          </w:rPr>
          <w:t>https://www.who.int/docs/default-source/food-safety/publications/chapter6-dietary-exposure.pdf?sfvrsn=26d37b15_6</w:t>
        </w:r>
      </w:hyperlink>
    </w:p>
    <w:p w14:paraId="43DB8299" w14:textId="112992CC" w:rsidR="00666FFC" w:rsidRDefault="3CEA6639" w:rsidP="00D90A6F">
      <w:pPr>
        <w:rPr>
          <w:rFonts w:cs="Arial"/>
          <w:szCs w:val="22"/>
        </w:rPr>
      </w:pPr>
      <w:r w:rsidRPr="3CEA6639">
        <w:rPr>
          <w:rFonts w:eastAsia="Arial" w:cs="Arial"/>
          <w:szCs w:val="22"/>
        </w:rPr>
        <w:t>FAO/WHO (2021) Evaluation of certain food additives: eighty-ninth report of the Joint FAO/WHO Expert Committee on Food Additives. WHO Technical Report Series, No. 1027. WHO, Geneva and FAO, Rome.</w:t>
      </w:r>
      <w:r w:rsidR="00666FFC" w:rsidRPr="00BD777F">
        <w:rPr>
          <w:rFonts w:cs="Arial"/>
          <w:szCs w:val="22"/>
        </w:rPr>
        <w:t>FCC (2008). Enzyme preparations. In: Food Chemicals Codex, 6th edition. Rockville (MD): United States Ph</w:t>
      </w:r>
      <w:r w:rsidR="00666FFC">
        <w:rPr>
          <w:rFonts w:cs="Arial"/>
          <w:szCs w:val="22"/>
        </w:rPr>
        <w:t>armacopeial Convention, pp. 413–</w:t>
      </w:r>
      <w:r w:rsidR="00666FFC" w:rsidRPr="00BD777F">
        <w:rPr>
          <w:rFonts w:cs="Arial"/>
          <w:szCs w:val="22"/>
        </w:rPr>
        <w:t>417</w:t>
      </w:r>
    </w:p>
    <w:p w14:paraId="2C4DE385" w14:textId="73411238" w:rsidR="006F7120" w:rsidRDefault="006F7120" w:rsidP="00D90A6F">
      <w:r>
        <w:t>Houbraken J, Kocsub</w:t>
      </w:r>
      <w:r w:rsidRPr="004E770F">
        <w:rPr>
          <w:rFonts w:cstheme="minorBidi"/>
          <w:szCs w:val="22"/>
        </w:rPr>
        <w:t>é</w:t>
      </w:r>
      <w:r>
        <w:t xml:space="preserve"> S, Visagie CM, Yilmaz N, Wang X-C, Meijer M, Kraak B, Hubka V, Bensch K, Samson RA and Frisvad JC (2020) Classification of </w:t>
      </w:r>
      <w:r w:rsidRPr="004E770F">
        <w:rPr>
          <w:i/>
        </w:rPr>
        <w:t>Aspergillus</w:t>
      </w:r>
      <w:r>
        <w:t xml:space="preserve">, </w:t>
      </w:r>
      <w:r w:rsidRPr="004E770F">
        <w:rPr>
          <w:i/>
        </w:rPr>
        <w:t>Penicillium</w:t>
      </w:r>
      <w:r>
        <w:t xml:space="preserve">, </w:t>
      </w:r>
      <w:r w:rsidRPr="004E770F">
        <w:rPr>
          <w:i/>
        </w:rPr>
        <w:t>Talaromyces</w:t>
      </w:r>
      <w:r>
        <w:t xml:space="preserve"> and related genera (</w:t>
      </w:r>
      <w:r w:rsidRPr="004E770F">
        <w:rPr>
          <w:i/>
        </w:rPr>
        <w:t>Eurotiales</w:t>
      </w:r>
      <w:r>
        <w:t>): An overview of families, genera, subgenera, sections, series and species. Studies in Mycology 95:5–169</w:t>
      </w:r>
    </w:p>
    <w:p w14:paraId="5C71176E" w14:textId="75CBF39E" w:rsidR="00666FFC" w:rsidRPr="00D90A6F" w:rsidRDefault="00666FFC" w:rsidP="00D90A6F">
      <w:r>
        <w:t>IUBMB (2022)</w:t>
      </w:r>
      <w:r w:rsidRPr="00727C61">
        <w:t xml:space="preserve"> </w:t>
      </w:r>
      <w:hyperlink r:id="rId19" w:history="1">
        <w:r>
          <w:rPr>
            <w:rStyle w:val="Hyperlink"/>
          </w:rPr>
          <w:t>EC 3.1.1.32 (qmul.ac.uk)</w:t>
        </w:r>
      </w:hyperlink>
      <w:r>
        <w:t xml:space="preserve"> (website last updated February 2022)</w:t>
      </w:r>
    </w:p>
    <w:p w14:paraId="78B6035A" w14:textId="77777777" w:rsidR="00666FFC" w:rsidRDefault="00637835" w:rsidP="00637835">
      <w:r w:rsidRPr="00637835">
        <w:t xml:space="preserve">Kelly JM, Hynes MJ (1985) </w:t>
      </w:r>
      <w:r w:rsidR="00373002">
        <w:t>‘</w:t>
      </w:r>
      <w:r w:rsidRPr="00637835">
        <w:t xml:space="preserve">Transformation of </w:t>
      </w:r>
      <w:r w:rsidRPr="00373002">
        <w:rPr>
          <w:i/>
        </w:rPr>
        <w:t>Aspergillus niger</w:t>
      </w:r>
      <w:r w:rsidRPr="00637835">
        <w:t xml:space="preserve"> by the </w:t>
      </w:r>
      <w:r w:rsidRPr="00373002">
        <w:rPr>
          <w:i/>
        </w:rPr>
        <w:t>amdS</w:t>
      </w:r>
      <w:r w:rsidRPr="00637835">
        <w:t xml:space="preserve"> gene of </w:t>
      </w:r>
      <w:r w:rsidRPr="00373002">
        <w:rPr>
          <w:i/>
        </w:rPr>
        <w:t>Aspergillus nidulans</w:t>
      </w:r>
      <w:r w:rsidR="00373002">
        <w:rPr>
          <w:i/>
        </w:rPr>
        <w:t>’</w:t>
      </w:r>
      <w:r w:rsidRPr="00637835">
        <w:t>. The EMBO Journal. 4 (2) 475-479</w:t>
      </w:r>
    </w:p>
    <w:p w14:paraId="7286707C" w14:textId="65C3EC44" w:rsidR="00D60568" w:rsidRDefault="00666FFC" w:rsidP="00637835">
      <w:r>
        <w:t>Lamas DL, Crapiste GH, Constenla DT (2014) Changes in quality and composition of sunflower oil during enzymatic degumming process. LWT - Food Science and Technology. Volume 58, Issue 1 p 71-76. https://doi.org/10.1016/j.lwt.2014.02.024</w:t>
      </w:r>
    </w:p>
    <w:p w14:paraId="0138B658" w14:textId="33977920" w:rsidR="00666FFC" w:rsidRPr="00E203C2" w:rsidRDefault="00666FFC" w:rsidP="008323DA">
      <w:r>
        <w:rPr>
          <w:rFonts w:cs="Arial"/>
          <w:szCs w:val="22"/>
          <w:lang w:eastAsia="en-AU" w:bidi="ar-SA"/>
        </w:rPr>
        <w:t>McDonald AG, Boyce S, Tipton KF (2009)</w:t>
      </w:r>
      <w:r w:rsidRPr="00243AD6">
        <w:rPr>
          <w:rFonts w:cs="Arial"/>
          <w:szCs w:val="22"/>
          <w:lang w:eastAsia="en-AU" w:bidi="ar-SA"/>
        </w:rPr>
        <w:t xml:space="preserve"> ExplorEnz: the primary source of the IUBMB enzy</w:t>
      </w:r>
      <w:r>
        <w:rPr>
          <w:rFonts w:cs="Arial"/>
          <w:szCs w:val="22"/>
          <w:lang w:eastAsia="en-AU" w:bidi="ar-SA"/>
        </w:rPr>
        <w:t xml:space="preserve">me list. Nucleic Acids Res 37:D593–D597 (2009). DOI: 10.1093/nar/gkn582 </w:t>
      </w:r>
    </w:p>
    <w:sectPr w:rsidR="00666FFC" w:rsidRPr="00E203C2" w:rsidSect="0054272D">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02904E" w16cex:dateUtc="2022-06-20T23:59:25.236Z"/>
  <w16cex:commentExtensible w16cex:durableId="446C3D17" w16cex:dateUtc="2022-06-25T09:16:12.275Z"/>
</w16cex:commentsExtensible>
</file>

<file path=word/commentsIds.xml><?xml version="1.0" encoding="utf-8"?>
<w16cid:commentsIds xmlns:mc="http://schemas.openxmlformats.org/markup-compatibility/2006" xmlns:w16cid="http://schemas.microsoft.com/office/word/2016/wordml/cid" mc:Ignorable="w16cid">
  <w16cid:commentId w16cid:paraId="1A21C3AB" w16cid:durableId="2644AC66"/>
  <w16cid:commentId w16cid:paraId="297A7556" w16cid:durableId="2644AC67"/>
  <w16cid:commentId w16cid:paraId="1A226E4C" w16cid:durableId="2644AC68"/>
  <w16cid:commentId w16cid:paraId="057C6562" w16cid:durableId="2644AC69"/>
  <w16cid:commentId w16cid:paraId="4374CD2D" w16cid:durableId="2644AC6A"/>
  <w16cid:commentId w16cid:paraId="6F74BAF0" w16cid:durableId="2644AC6B"/>
  <w16cid:commentId w16cid:paraId="54A5EF07" w16cid:durableId="2644AC6C"/>
  <w16cid:commentId w16cid:paraId="4ADC10F7" w16cid:durableId="2644AC6D"/>
  <w16cid:commentId w16cid:paraId="4CA13B83" w16cid:durableId="2644B040"/>
  <w16cid:commentId w16cid:paraId="12EBB232" w16cid:durableId="2644B276"/>
  <w16cid:commentId w16cid:paraId="1F8BF047" w16cid:durableId="2644AC6E"/>
  <w16cid:commentId w16cid:paraId="264EB1E5" w16cid:durableId="2644AC6F"/>
  <w16cid:commentId w16cid:paraId="07AA6307" w16cid:durableId="2644AC70"/>
  <w16cid:commentId w16cid:paraId="5E623779" w16cid:durableId="2644AC71"/>
  <w16cid:commentId w16cid:paraId="05AA58B0" w16cid:durableId="2644AC72"/>
  <w16cid:commentId w16cid:paraId="69458CC9" w16cid:durableId="2644AC73"/>
  <w16cid:commentId w16cid:paraId="21CF37EE" w16cid:durableId="4A7FCB82"/>
  <w16cid:commentId w16cid:paraId="51FBF87A" w16cid:durableId="76452DBC"/>
  <w16cid:commentId w16cid:paraId="054E86AC" w16cid:durableId="35B7E2E1"/>
  <w16cid:commentId w16cid:paraId="77867ABE" w16cid:durableId="4BA90CC3"/>
  <w16cid:commentId w16cid:paraId="164837E0" w16cid:durableId="73382B42"/>
  <w16cid:commentId w16cid:paraId="2FB06626" w16cid:durableId="73BBA9DD"/>
  <w16cid:commentId w16cid:paraId="304601F6" w16cid:durableId="1E53FDD8"/>
  <w16cid:commentId w16cid:paraId="4C7D490C" w16cid:durableId="154C892C"/>
  <w16cid:commentId w16cid:paraId="4404814D" w16cid:durableId="16374BA2"/>
  <w16cid:commentId w16cid:paraId="2B4720D6" w16cid:durableId="0F224185"/>
  <w16cid:commentId w16cid:paraId="5AA2844F" w16cid:durableId="670081CF"/>
  <w16cid:commentId w16cid:paraId="52A60104" w16cid:durableId="5F5326BA"/>
  <w16cid:commentId w16cid:paraId="43C50991" w16cid:durableId="49218BC0"/>
  <w16cid:commentId w16cid:paraId="7A53D80F" w16cid:durableId="0208F905"/>
  <w16cid:commentId w16cid:paraId="10C22CC4" w16cid:durableId="65561B0E"/>
  <w16cid:commentId w16cid:paraId="79693A19" w16cid:durableId="1E276949"/>
  <w16cid:commentId w16cid:paraId="373DE431" w16cid:durableId="0C0557EB"/>
  <w16cid:commentId w16cid:paraId="1F6BD89B" w16cid:durableId="5892AD67"/>
  <w16cid:commentId w16cid:paraId="379D270F" w16cid:durableId="1243A033"/>
  <w16cid:commentId w16cid:paraId="5713B7C5" w16cid:durableId="73A85E96"/>
  <w16cid:commentId w16cid:paraId="27BC23B3" w16cid:durableId="325E2EAE"/>
  <w16cid:commentId w16cid:paraId="5ED715A4" w16cid:durableId="4BDDE25A"/>
  <w16cid:commentId w16cid:paraId="2BCB3BED" w16cid:durableId="52C29F96"/>
  <w16cid:commentId w16cid:paraId="04A3063A" w16cid:durableId="0462E1A6"/>
  <w16cid:commentId w16cid:paraId="0879115D" w16cid:durableId="5B527F36"/>
  <w16cid:commentId w16cid:paraId="2A5AA70D" w16cid:durableId="66D00C47"/>
  <w16cid:commentId w16cid:paraId="64CB0F63" w16cid:durableId="3E300FDD"/>
  <w16cid:commentId w16cid:paraId="11F2CEB4" w16cid:durableId="3FC125CA"/>
  <w16cid:commentId w16cid:paraId="1D9F899F" w16cid:durableId="5C02904E"/>
  <w16cid:commentId w16cid:paraId="11BE4026" w16cid:durableId="446C3D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5E60F" w14:textId="77777777" w:rsidR="00C73C8D" w:rsidRDefault="00C73C8D">
      <w:r>
        <w:separator/>
      </w:r>
    </w:p>
  </w:endnote>
  <w:endnote w:type="continuationSeparator" w:id="0">
    <w:p w14:paraId="497D80FD" w14:textId="77777777" w:rsidR="00C73C8D" w:rsidRDefault="00C73C8D">
      <w:r>
        <w:continuationSeparator/>
      </w:r>
    </w:p>
  </w:endnote>
  <w:endnote w:type="continuationNotice" w:id="1">
    <w:p w14:paraId="6084AF32" w14:textId="77777777" w:rsidR="00C73C8D" w:rsidRDefault="00C73C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16967F3D" w:rsidR="00C73C8D" w:rsidRDefault="00C73C8D" w:rsidP="00AD1B2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C73C8D" w:rsidRDefault="00C73C8D" w:rsidP="00067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54ADB49A" w:rsidR="00C73C8D" w:rsidRDefault="00C73C8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F54">
      <w:rPr>
        <w:rStyle w:val="PageNumber"/>
        <w:noProof/>
      </w:rPr>
      <w:t>i</w:t>
    </w:r>
    <w:r>
      <w:rPr>
        <w:rStyle w:val="PageNumber"/>
      </w:rPr>
      <w:fldChar w:fldCharType="end"/>
    </w:r>
  </w:p>
  <w:p w14:paraId="7C4636D5" w14:textId="77777777" w:rsidR="00C73C8D" w:rsidRDefault="00C73C8D" w:rsidP="00067F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31C4" w14:textId="6D112FB7" w:rsidR="00C73C8D" w:rsidRDefault="00C73C8D" w:rsidP="00AD1B2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6AFD917" w14:textId="77777777" w:rsidR="00C73C8D" w:rsidRDefault="00C73C8D" w:rsidP="00067F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45140"/>
      <w:docPartObj>
        <w:docPartGallery w:val="Page Numbers (Bottom of Page)"/>
        <w:docPartUnique/>
      </w:docPartObj>
    </w:sdtPr>
    <w:sdtEndPr>
      <w:rPr>
        <w:noProof/>
      </w:rPr>
    </w:sdtEndPr>
    <w:sdtContent>
      <w:p w14:paraId="2E5EE548" w14:textId="4113ECB9" w:rsidR="00C73C8D" w:rsidRDefault="00C73C8D">
        <w:pPr>
          <w:pStyle w:val="Footer"/>
        </w:pPr>
        <w:r>
          <w:fldChar w:fldCharType="begin"/>
        </w:r>
        <w:r>
          <w:instrText xml:space="preserve"> PAGE   \* MERGEFORMAT </w:instrText>
        </w:r>
        <w:r>
          <w:fldChar w:fldCharType="separate"/>
        </w:r>
        <w:r w:rsidR="00067F54">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FD51" w14:textId="4FCC0423" w:rsidR="00C73C8D" w:rsidRPr="00067F54" w:rsidRDefault="00C73C8D" w:rsidP="00067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00C9" w14:textId="77777777" w:rsidR="00C73C8D" w:rsidRDefault="00C73C8D">
      <w:r>
        <w:separator/>
      </w:r>
    </w:p>
  </w:footnote>
  <w:footnote w:type="continuationSeparator" w:id="0">
    <w:p w14:paraId="2279CFF3" w14:textId="77777777" w:rsidR="00C73C8D" w:rsidRDefault="00C73C8D">
      <w:r>
        <w:continuationSeparator/>
      </w:r>
    </w:p>
  </w:footnote>
  <w:footnote w:type="continuationNotice" w:id="1">
    <w:p w14:paraId="3C043164" w14:textId="77777777" w:rsidR="00C73C8D" w:rsidRDefault="00C73C8D">
      <w:pPr>
        <w:spacing w:before="0" w:after="0"/>
      </w:pPr>
    </w:p>
  </w:footnote>
  <w:footnote w:id="2">
    <w:p w14:paraId="7791148F" w14:textId="6528F8D4" w:rsidR="00C73C8D" w:rsidRPr="00C468F9" w:rsidRDefault="00C73C8D">
      <w:pPr>
        <w:pStyle w:val="FootnoteText"/>
        <w:rPr>
          <w:lang w:val="en-AU"/>
        </w:rPr>
      </w:pPr>
      <w:r>
        <w:rPr>
          <w:rStyle w:val="FootnoteReference"/>
        </w:rPr>
        <w:footnoteRef/>
      </w:r>
      <w:r>
        <w:t xml:space="preserve"> </w:t>
      </w:r>
      <w:r w:rsidRPr="008167C9">
        <w:t>FSANZ notified the applicant about the name change and they have accepted</w:t>
      </w:r>
      <w:r w:rsidRPr="00776A0D">
        <w:rPr>
          <w:i/>
          <w:sz w:val="22"/>
          <w:szCs w:val="24"/>
        </w:rPr>
        <w:t xml:space="preserve"> </w:t>
      </w:r>
      <w:r w:rsidRPr="00776A0D">
        <w:rPr>
          <w:i/>
        </w:rPr>
        <w:t>Evansstolkia</w:t>
      </w:r>
      <w:r w:rsidRPr="00776A0D">
        <w:t xml:space="preserve"> </w:t>
      </w:r>
      <w:r w:rsidRPr="00776A0D">
        <w:rPr>
          <w:i/>
        </w:rPr>
        <w:t>leycettana</w:t>
      </w:r>
      <w:r w:rsidRPr="00776A0D">
        <w:t xml:space="preserve"> (basionym </w:t>
      </w:r>
      <w:r w:rsidRPr="00776A0D">
        <w:rPr>
          <w:i/>
        </w:rPr>
        <w:t>Talaromyces</w:t>
      </w:r>
      <w:r w:rsidRPr="00776A0D">
        <w:t xml:space="preserve"> </w:t>
      </w:r>
      <w:r w:rsidRPr="00776A0D">
        <w:rPr>
          <w:i/>
        </w:rPr>
        <w:t>leycettanus</w:t>
      </w:r>
      <w:r w:rsidRPr="00776A0D">
        <w:t>)</w:t>
      </w:r>
      <w:r w:rsidRPr="008167C9">
        <w:t xml:space="preserve"> as the name of the donor species.</w:t>
      </w:r>
      <w:r>
        <w:t xml:space="preserve"> The term ‘basionym’ means</w:t>
      </w:r>
      <w:r w:rsidRPr="00C10123">
        <w:t xml:space="preserve"> the original name on which the new name is based.</w:t>
      </w:r>
    </w:p>
  </w:footnote>
  <w:footnote w:id="3">
    <w:p w14:paraId="738AFF99" w14:textId="525DFF65" w:rsidR="00C73C8D" w:rsidRDefault="00C73C8D" w:rsidP="3CEA6639">
      <w:r w:rsidRPr="3CEA6639">
        <w:rPr>
          <w:rStyle w:val="FootnoteReference"/>
        </w:rPr>
        <w:footnoteRef/>
      </w:r>
      <w:r>
        <w:t xml:space="preserve"> https:www.uniprot.org  </w:t>
      </w:r>
    </w:p>
  </w:footnote>
  <w:footnote w:id="4">
    <w:p w14:paraId="2012389A" w14:textId="77777777" w:rsidR="00C73C8D" w:rsidRPr="00A3299A" w:rsidRDefault="00C73C8D" w:rsidP="00B51F78">
      <w:pPr>
        <w:pStyle w:val="FootnoteText"/>
        <w:rPr>
          <w:lang w:val="en-AU"/>
        </w:rPr>
      </w:pPr>
      <w:r>
        <w:rPr>
          <w:rStyle w:val="FootnoteReference"/>
        </w:rPr>
        <w:footnoteRef/>
      </w:r>
      <w:r>
        <w:t xml:space="preserve"> </w:t>
      </w:r>
      <w:hyperlink r:id="rId1" w:history="1">
        <w:r w:rsidRPr="00680725">
          <w:rPr>
            <w:rStyle w:val="Hyperlink"/>
            <w:lang w:val="en-AU"/>
          </w:rPr>
          <w:t>http://www.allergenonline.org</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433BBD81" w:rsidR="00C73C8D" w:rsidRDefault="00C73C8D">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802A" w14:textId="24A1E51E" w:rsidR="00C73C8D" w:rsidRPr="00067F54" w:rsidRDefault="00C73C8D" w:rsidP="00067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BBFD" w14:textId="60B83389" w:rsidR="00C73C8D" w:rsidRPr="00067F54" w:rsidRDefault="00C73C8D" w:rsidP="00067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42A4" w14:textId="6E20E7B0" w:rsidR="00C73C8D" w:rsidRDefault="00C73C8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63F6"/>
    <w:multiLevelType w:val="multilevel"/>
    <w:tmpl w:val="2D2A160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3D6"/>
    <w:rsid w:val="0000469B"/>
    <w:rsid w:val="00021AE1"/>
    <w:rsid w:val="0003450D"/>
    <w:rsid w:val="00035FF3"/>
    <w:rsid w:val="00040764"/>
    <w:rsid w:val="00040D26"/>
    <w:rsid w:val="00047192"/>
    <w:rsid w:val="00051021"/>
    <w:rsid w:val="00051ED9"/>
    <w:rsid w:val="0005628F"/>
    <w:rsid w:val="00056F2E"/>
    <w:rsid w:val="00057181"/>
    <w:rsid w:val="0006473A"/>
    <w:rsid w:val="00064B2D"/>
    <w:rsid w:val="00065F1F"/>
    <w:rsid w:val="00067F54"/>
    <w:rsid w:val="00076D33"/>
    <w:rsid w:val="00087231"/>
    <w:rsid w:val="00092CDA"/>
    <w:rsid w:val="000A27E9"/>
    <w:rsid w:val="000A3D8B"/>
    <w:rsid w:val="000A5DF8"/>
    <w:rsid w:val="000A6FEE"/>
    <w:rsid w:val="000B6AF2"/>
    <w:rsid w:val="000D493B"/>
    <w:rsid w:val="000D6B6A"/>
    <w:rsid w:val="000D6C6F"/>
    <w:rsid w:val="000D6FD4"/>
    <w:rsid w:val="000E0AE4"/>
    <w:rsid w:val="000E3DBC"/>
    <w:rsid w:val="000F044B"/>
    <w:rsid w:val="000F559D"/>
    <w:rsid w:val="00104259"/>
    <w:rsid w:val="00113CE3"/>
    <w:rsid w:val="00117522"/>
    <w:rsid w:val="00117FFA"/>
    <w:rsid w:val="001374E9"/>
    <w:rsid w:val="001542D8"/>
    <w:rsid w:val="00154673"/>
    <w:rsid w:val="00162345"/>
    <w:rsid w:val="00165572"/>
    <w:rsid w:val="001737E1"/>
    <w:rsid w:val="00180C41"/>
    <w:rsid w:val="00182C4C"/>
    <w:rsid w:val="00185ED4"/>
    <w:rsid w:val="00186F10"/>
    <w:rsid w:val="00190D34"/>
    <w:rsid w:val="00193983"/>
    <w:rsid w:val="00197D8D"/>
    <w:rsid w:val="001A1A75"/>
    <w:rsid w:val="001A7E9A"/>
    <w:rsid w:val="001B115D"/>
    <w:rsid w:val="001B131D"/>
    <w:rsid w:val="001B3BA9"/>
    <w:rsid w:val="001C27A3"/>
    <w:rsid w:val="001C5295"/>
    <w:rsid w:val="001C6AA8"/>
    <w:rsid w:val="001D30E7"/>
    <w:rsid w:val="001E09FA"/>
    <w:rsid w:val="001E6340"/>
    <w:rsid w:val="001F28BF"/>
    <w:rsid w:val="001F7FFD"/>
    <w:rsid w:val="00203540"/>
    <w:rsid w:val="002039E8"/>
    <w:rsid w:val="00203E9F"/>
    <w:rsid w:val="00206499"/>
    <w:rsid w:val="0021612B"/>
    <w:rsid w:val="0022083A"/>
    <w:rsid w:val="00221D07"/>
    <w:rsid w:val="00225453"/>
    <w:rsid w:val="00227E4A"/>
    <w:rsid w:val="00235FD6"/>
    <w:rsid w:val="0024582E"/>
    <w:rsid w:val="00245C56"/>
    <w:rsid w:val="002547EF"/>
    <w:rsid w:val="00256D65"/>
    <w:rsid w:val="002668EE"/>
    <w:rsid w:val="0027125A"/>
    <w:rsid w:val="00271F00"/>
    <w:rsid w:val="00273A80"/>
    <w:rsid w:val="0027493C"/>
    <w:rsid w:val="00284960"/>
    <w:rsid w:val="0029204E"/>
    <w:rsid w:val="00294C51"/>
    <w:rsid w:val="0029631C"/>
    <w:rsid w:val="002A0194"/>
    <w:rsid w:val="002A3314"/>
    <w:rsid w:val="002A5F8B"/>
    <w:rsid w:val="002A63DB"/>
    <w:rsid w:val="002A7F6C"/>
    <w:rsid w:val="002C2FDA"/>
    <w:rsid w:val="002D6809"/>
    <w:rsid w:val="002F6488"/>
    <w:rsid w:val="003023FE"/>
    <w:rsid w:val="00320839"/>
    <w:rsid w:val="003213F9"/>
    <w:rsid w:val="00323DBF"/>
    <w:rsid w:val="00326D85"/>
    <w:rsid w:val="0032795F"/>
    <w:rsid w:val="003309A8"/>
    <w:rsid w:val="00332B12"/>
    <w:rsid w:val="0033393C"/>
    <w:rsid w:val="003422CA"/>
    <w:rsid w:val="00351B07"/>
    <w:rsid w:val="00352CF2"/>
    <w:rsid w:val="00357425"/>
    <w:rsid w:val="00364841"/>
    <w:rsid w:val="00371B29"/>
    <w:rsid w:val="00373002"/>
    <w:rsid w:val="0037525F"/>
    <w:rsid w:val="0037656B"/>
    <w:rsid w:val="00391769"/>
    <w:rsid w:val="003942E2"/>
    <w:rsid w:val="00394F39"/>
    <w:rsid w:val="003953E1"/>
    <w:rsid w:val="003956B3"/>
    <w:rsid w:val="003A31B3"/>
    <w:rsid w:val="003A68BE"/>
    <w:rsid w:val="003B1805"/>
    <w:rsid w:val="003B3C9D"/>
    <w:rsid w:val="003B78E0"/>
    <w:rsid w:val="003C27B3"/>
    <w:rsid w:val="003C4969"/>
    <w:rsid w:val="003D650A"/>
    <w:rsid w:val="003E28FC"/>
    <w:rsid w:val="003E41D5"/>
    <w:rsid w:val="003E46BA"/>
    <w:rsid w:val="003E57AC"/>
    <w:rsid w:val="003E7C13"/>
    <w:rsid w:val="003E7D22"/>
    <w:rsid w:val="003F3459"/>
    <w:rsid w:val="003F74C1"/>
    <w:rsid w:val="00405B1A"/>
    <w:rsid w:val="00410C76"/>
    <w:rsid w:val="00411907"/>
    <w:rsid w:val="00413CA8"/>
    <w:rsid w:val="00417EE3"/>
    <w:rsid w:val="004207EB"/>
    <w:rsid w:val="00437276"/>
    <w:rsid w:val="0044214C"/>
    <w:rsid w:val="00445589"/>
    <w:rsid w:val="00445DF1"/>
    <w:rsid w:val="00456B54"/>
    <w:rsid w:val="00464643"/>
    <w:rsid w:val="0047150C"/>
    <w:rsid w:val="004768DD"/>
    <w:rsid w:val="00486793"/>
    <w:rsid w:val="004969CB"/>
    <w:rsid w:val="004A2037"/>
    <w:rsid w:val="004A4E7A"/>
    <w:rsid w:val="004C2CE7"/>
    <w:rsid w:val="004D23D7"/>
    <w:rsid w:val="004D23F3"/>
    <w:rsid w:val="004F4F98"/>
    <w:rsid w:val="004F69F6"/>
    <w:rsid w:val="004F79AC"/>
    <w:rsid w:val="005017CF"/>
    <w:rsid w:val="0050662F"/>
    <w:rsid w:val="005207D8"/>
    <w:rsid w:val="0053464E"/>
    <w:rsid w:val="005404D2"/>
    <w:rsid w:val="00541B14"/>
    <w:rsid w:val="0054272D"/>
    <w:rsid w:val="00553308"/>
    <w:rsid w:val="00562917"/>
    <w:rsid w:val="00574197"/>
    <w:rsid w:val="005747D2"/>
    <w:rsid w:val="00575767"/>
    <w:rsid w:val="0057615C"/>
    <w:rsid w:val="00582A5F"/>
    <w:rsid w:val="00585A43"/>
    <w:rsid w:val="00586228"/>
    <w:rsid w:val="005A1D97"/>
    <w:rsid w:val="005A58F3"/>
    <w:rsid w:val="005B6AF4"/>
    <w:rsid w:val="005B7A73"/>
    <w:rsid w:val="005B7EA7"/>
    <w:rsid w:val="005C04CB"/>
    <w:rsid w:val="005C71DF"/>
    <w:rsid w:val="005D16AD"/>
    <w:rsid w:val="005D72E1"/>
    <w:rsid w:val="005E0430"/>
    <w:rsid w:val="005E6E16"/>
    <w:rsid w:val="005F400E"/>
    <w:rsid w:val="005F7342"/>
    <w:rsid w:val="005F7F2F"/>
    <w:rsid w:val="00603A08"/>
    <w:rsid w:val="006053F1"/>
    <w:rsid w:val="00606258"/>
    <w:rsid w:val="00610A3C"/>
    <w:rsid w:val="0061499F"/>
    <w:rsid w:val="00627F48"/>
    <w:rsid w:val="00630C23"/>
    <w:rsid w:val="00631D1A"/>
    <w:rsid w:val="00637835"/>
    <w:rsid w:val="006460AB"/>
    <w:rsid w:val="006465DF"/>
    <w:rsid w:val="00650871"/>
    <w:rsid w:val="00663FCF"/>
    <w:rsid w:val="006652A2"/>
    <w:rsid w:val="00666FFC"/>
    <w:rsid w:val="00675E3D"/>
    <w:rsid w:val="00690206"/>
    <w:rsid w:val="00693679"/>
    <w:rsid w:val="006937FF"/>
    <w:rsid w:val="006A48A7"/>
    <w:rsid w:val="006A6A2C"/>
    <w:rsid w:val="006B131F"/>
    <w:rsid w:val="006B4BA1"/>
    <w:rsid w:val="006B5EBE"/>
    <w:rsid w:val="006C0E26"/>
    <w:rsid w:val="006C5CF5"/>
    <w:rsid w:val="006D2F16"/>
    <w:rsid w:val="006D4B38"/>
    <w:rsid w:val="006E185F"/>
    <w:rsid w:val="006F463C"/>
    <w:rsid w:val="006F4A82"/>
    <w:rsid w:val="006F5778"/>
    <w:rsid w:val="006F7120"/>
    <w:rsid w:val="0070373B"/>
    <w:rsid w:val="007040E3"/>
    <w:rsid w:val="00724FA4"/>
    <w:rsid w:val="00730800"/>
    <w:rsid w:val="007602AA"/>
    <w:rsid w:val="00762623"/>
    <w:rsid w:val="007652EF"/>
    <w:rsid w:val="00770233"/>
    <w:rsid w:val="00772BDC"/>
    <w:rsid w:val="00775A44"/>
    <w:rsid w:val="00775DE2"/>
    <w:rsid w:val="00776A0D"/>
    <w:rsid w:val="0077762E"/>
    <w:rsid w:val="00780792"/>
    <w:rsid w:val="007838BE"/>
    <w:rsid w:val="007914E7"/>
    <w:rsid w:val="00792505"/>
    <w:rsid w:val="00796562"/>
    <w:rsid w:val="00796DC6"/>
    <w:rsid w:val="007A44B4"/>
    <w:rsid w:val="007A7D3D"/>
    <w:rsid w:val="007B225D"/>
    <w:rsid w:val="007C174F"/>
    <w:rsid w:val="007C1C64"/>
    <w:rsid w:val="007D03EA"/>
    <w:rsid w:val="007E48BC"/>
    <w:rsid w:val="007E7540"/>
    <w:rsid w:val="007E79F7"/>
    <w:rsid w:val="007F3630"/>
    <w:rsid w:val="007F52FC"/>
    <w:rsid w:val="00807559"/>
    <w:rsid w:val="008167C9"/>
    <w:rsid w:val="00821733"/>
    <w:rsid w:val="008323DA"/>
    <w:rsid w:val="00840179"/>
    <w:rsid w:val="008441E8"/>
    <w:rsid w:val="008450BC"/>
    <w:rsid w:val="008472C0"/>
    <w:rsid w:val="0085334B"/>
    <w:rsid w:val="00857432"/>
    <w:rsid w:val="00862FBC"/>
    <w:rsid w:val="0086763D"/>
    <w:rsid w:val="00870214"/>
    <w:rsid w:val="00885C51"/>
    <w:rsid w:val="00885EB0"/>
    <w:rsid w:val="00891F4B"/>
    <w:rsid w:val="0089264A"/>
    <w:rsid w:val="008935C0"/>
    <w:rsid w:val="00896B85"/>
    <w:rsid w:val="008A22BE"/>
    <w:rsid w:val="008C1B36"/>
    <w:rsid w:val="008C67E6"/>
    <w:rsid w:val="008D06C6"/>
    <w:rsid w:val="008D0A45"/>
    <w:rsid w:val="008E6250"/>
    <w:rsid w:val="008F6523"/>
    <w:rsid w:val="00902AF6"/>
    <w:rsid w:val="009048DB"/>
    <w:rsid w:val="00920249"/>
    <w:rsid w:val="009206D0"/>
    <w:rsid w:val="00924C80"/>
    <w:rsid w:val="00926838"/>
    <w:rsid w:val="00932F14"/>
    <w:rsid w:val="0094247F"/>
    <w:rsid w:val="00942D60"/>
    <w:rsid w:val="00957F35"/>
    <w:rsid w:val="0096523B"/>
    <w:rsid w:val="00966EE3"/>
    <w:rsid w:val="0096748C"/>
    <w:rsid w:val="009716EF"/>
    <w:rsid w:val="00972D06"/>
    <w:rsid w:val="0097427B"/>
    <w:rsid w:val="009A391C"/>
    <w:rsid w:val="009A50F2"/>
    <w:rsid w:val="009A6BA2"/>
    <w:rsid w:val="009C737E"/>
    <w:rsid w:val="009E0A61"/>
    <w:rsid w:val="009E26EF"/>
    <w:rsid w:val="009E3010"/>
    <w:rsid w:val="009E7D8E"/>
    <w:rsid w:val="009F007E"/>
    <w:rsid w:val="009F7065"/>
    <w:rsid w:val="00A030FD"/>
    <w:rsid w:val="00A10752"/>
    <w:rsid w:val="00A124A1"/>
    <w:rsid w:val="00A27140"/>
    <w:rsid w:val="00A34D24"/>
    <w:rsid w:val="00A379A8"/>
    <w:rsid w:val="00A4175D"/>
    <w:rsid w:val="00A531F3"/>
    <w:rsid w:val="00A56DC7"/>
    <w:rsid w:val="00A62338"/>
    <w:rsid w:val="00A723D9"/>
    <w:rsid w:val="00A74FD1"/>
    <w:rsid w:val="00A77BFA"/>
    <w:rsid w:val="00A84A58"/>
    <w:rsid w:val="00A879AC"/>
    <w:rsid w:val="00A9684C"/>
    <w:rsid w:val="00AA2F7B"/>
    <w:rsid w:val="00AB2036"/>
    <w:rsid w:val="00AB41C4"/>
    <w:rsid w:val="00AB4367"/>
    <w:rsid w:val="00AB7A76"/>
    <w:rsid w:val="00AC40B3"/>
    <w:rsid w:val="00AD1B27"/>
    <w:rsid w:val="00AD37B8"/>
    <w:rsid w:val="00AE21D0"/>
    <w:rsid w:val="00AF06FC"/>
    <w:rsid w:val="00AF3391"/>
    <w:rsid w:val="00AF377F"/>
    <w:rsid w:val="00AF387F"/>
    <w:rsid w:val="00B00E7F"/>
    <w:rsid w:val="00B12F1E"/>
    <w:rsid w:val="00B1375B"/>
    <w:rsid w:val="00B17041"/>
    <w:rsid w:val="00B173DA"/>
    <w:rsid w:val="00B21DCC"/>
    <w:rsid w:val="00B25D65"/>
    <w:rsid w:val="00B25F37"/>
    <w:rsid w:val="00B37BF0"/>
    <w:rsid w:val="00B44422"/>
    <w:rsid w:val="00B46EA0"/>
    <w:rsid w:val="00B51F78"/>
    <w:rsid w:val="00B615F2"/>
    <w:rsid w:val="00B62B7C"/>
    <w:rsid w:val="00B731D3"/>
    <w:rsid w:val="00B839A3"/>
    <w:rsid w:val="00B83BBB"/>
    <w:rsid w:val="00B902BD"/>
    <w:rsid w:val="00BA2050"/>
    <w:rsid w:val="00BA24E2"/>
    <w:rsid w:val="00BA2E08"/>
    <w:rsid w:val="00BD2A39"/>
    <w:rsid w:val="00BD2E80"/>
    <w:rsid w:val="00BE11B8"/>
    <w:rsid w:val="00BE1B91"/>
    <w:rsid w:val="00BF6BD9"/>
    <w:rsid w:val="00BF7FF0"/>
    <w:rsid w:val="00C057F4"/>
    <w:rsid w:val="00C11522"/>
    <w:rsid w:val="00C12502"/>
    <w:rsid w:val="00C219D7"/>
    <w:rsid w:val="00C22D36"/>
    <w:rsid w:val="00C276BE"/>
    <w:rsid w:val="00C315CF"/>
    <w:rsid w:val="00C31ACB"/>
    <w:rsid w:val="00C36578"/>
    <w:rsid w:val="00C40AA5"/>
    <w:rsid w:val="00C468F9"/>
    <w:rsid w:val="00C46F70"/>
    <w:rsid w:val="00C476D0"/>
    <w:rsid w:val="00C60F66"/>
    <w:rsid w:val="00C61AC1"/>
    <w:rsid w:val="00C71E2D"/>
    <w:rsid w:val="00C73C8D"/>
    <w:rsid w:val="00C836E3"/>
    <w:rsid w:val="00C86577"/>
    <w:rsid w:val="00C92E07"/>
    <w:rsid w:val="00C944E5"/>
    <w:rsid w:val="00C96868"/>
    <w:rsid w:val="00CA0416"/>
    <w:rsid w:val="00CA4A62"/>
    <w:rsid w:val="00CA641D"/>
    <w:rsid w:val="00CB5540"/>
    <w:rsid w:val="00CB7BBC"/>
    <w:rsid w:val="00CC560B"/>
    <w:rsid w:val="00CC75E2"/>
    <w:rsid w:val="00CC7EE9"/>
    <w:rsid w:val="00CD0B3D"/>
    <w:rsid w:val="00CD46EB"/>
    <w:rsid w:val="00CD6F36"/>
    <w:rsid w:val="00CD7EBF"/>
    <w:rsid w:val="00CE09B6"/>
    <w:rsid w:val="00CF069E"/>
    <w:rsid w:val="00D056F1"/>
    <w:rsid w:val="00D11171"/>
    <w:rsid w:val="00D21894"/>
    <w:rsid w:val="00D22F3C"/>
    <w:rsid w:val="00D2370D"/>
    <w:rsid w:val="00D23DB6"/>
    <w:rsid w:val="00D3256D"/>
    <w:rsid w:val="00D43FE6"/>
    <w:rsid w:val="00D51A95"/>
    <w:rsid w:val="00D60568"/>
    <w:rsid w:val="00D61428"/>
    <w:rsid w:val="00D61FF0"/>
    <w:rsid w:val="00D70C7A"/>
    <w:rsid w:val="00D71E14"/>
    <w:rsid w:val="00D80F5B"/>
    <w:rsid w:val="00D81D38"/>
    <w:rsid w:val="00D90A6F"/>
    <w:rsid w:val="00D93C82"/>
    <w:rsid w:val="00D9620E"/>
    <w:rsid w:val="00D96C4F"/>
    <w:rsid w:val="00DA10A8"/>
    <w:rsid w:val="00DA6EFE"/>
    <w:rsid w:val="00DB1E08"/>
    <w:rsid w:val="00DB2973"/>
    <w:rsid w:val="00DC1B56"/>
    <w:rsid w:val="00DC2129"/>
    <w:rsid w:val="00DC6570"/>
    <w:rsid w:val="00DD06D5"/>
    <w:rsid w:val="00DD3C5E"/>
    <w:rsid w:val="00DD76D9"/>
    <w:rsid w:val="00DE3752"/>
    <w:rsid w:val="00DE6087"/>
    <w:rsid w:val="00DF057F"/>
    <w:rsid w:val="00DF24E6"/>
    <w:rsid w:val="00DF25C3"/>
    <w:rsid w:val="00E04062"/>
    <w:rsid w:val="00E063C6"/>
    <w:rsid w:val="00E066BA"/>
    <w:rsid w:val="00E07E16"/>
    <w:rsid w:val="00E13397"/>
    <w:rsid w:val="00E14F28"/>
    <w:rsid w:val="00E2003B"/>
    <w:rsid w:val="00E203C2"/>
    <w:rsid w:val="00E25708"/>
    <w:rsid w:val="00E279D8"/>
    <w:rsid w:val="00E319B1"/>
    <w:rsid w:val="00E42C42"/>
    <w:rsid w:val="00E43087"/>
    <w:rsid w:val="00E44E0D"/>
    <w:rsid w:val="00E5492F"/>
    <w:rsid w:val="00E6062B"/>
    <w:rsid w:val="00E62DEF"/>
    <w:rsid w:val="00E70A7A"/>
    <w:rsid w:val="00E70A86"/>
    <w:rsid w:val="00E75499"/>
    <w:rsid w:val="00E777EC"/>
    <w:rsid w:val="00E80FCD"/>
    <w:rsid w:val="00E91842"/>
    <w:rsid w:val="00EA4A64"/>
    <w:rsid w:val="00EA7F2F"/>
    <w:rsid w:val="00EC00DE"/>
    <w:rsid w:val="00EC30E1"/>
    <w:rsid w:val="00EC430B"/>
    <w:rsid w:val="00EC746D"/>
    <w:rsid w:val="00ED02A7"/>
    <w:rsid w:val="00ED172A"/>
    <w:rsid w:val="00EDF1BE"/>
    <w:rsid w:val="00EF1755"/>
    <w:rsid w:val="00EF2FF2"/>
    <w:rsid w:val="00EF6523"/>
    <w:rsid w:val="00EF71BA"/>
    <w:rsid w:val="00F05468"/>
    <w:rsid w:val="00F10DA2"/>
    <w:rsid w:val="00F117A4"/>
    <w:rsid w:val="00F11F6C"/>
    <w:rsid w:val="00F14BEC"/>
    <w:rsid w:val="00F20B06"/>
    <w:rsid w:val="00F225C5"/>
    <w:rsid w:val="00F2587A"/>
    <w:rsid w:val="00F26794"/>
    <w:rsid w:val="00F35494"/>
    <w:rsid w:val="00F3715D"/>
    <w:rsid w:val="00F420C8"/>
    <w:rsid w:val="00F42A4C"/>
    <w:rsid w:val="00F604DE"/>
    <w:rsid w:val="00F61B0A"/>
    <w:rsid w:val="00F65BF2"/>
    <w:rsid w:val="00F808D1"/>
    <w:rsid w:val="00F96F59"/>
    <w:rsid w:val="00FA01B2"/>
    <w:rsid w:val="00FA4E91"/>
    <w:rsid w:val="00FB0B73"/>
    <w:rsid w:val="00FB7512"/>
    <w:rsid w:val="00FC7671"/>
    <w:rsid w:val="00FD2169"/>
    <w:rsid w:val="00FD7547"/>
    <w:rsid w:val="00FF5F5C"/>
    <w:rsid w:val="02BDD184"/>
    <w:rsid w:val="07A047D7"/>
    <w:rsid w:val="089E2DF7"/>
    <w:rsid w:val="08E55D5E"/>
    <w:rsid w:val="08EC1AF9"/>
    <w:rsid w:val="0B103838"/>
    <w:rsid w:val="0B2ECFFC"/>
    <w:rsid w:val="0C920B5B"/>
    <w:rsid w:val="0DBF8C1C"/>
    <w:rsid w:val="101855FF"/>
    <w:rsid w:val="104F1F70"/>
    <w:rsid w:val="10A93FDC"/>
    <w:rsid w:val="122B12FF"/>
    <w:rsid w:val="130221C0"/>
    <w:rsid w:val="1452FC4D"/>
    <w:rsid w:val="14903B01"/>
    <w:rsid w:val="15A73F62"/>
    <w:rsid w:val="164F5E0F"/>
    <w:rsid w:val="1CA1D631"/>
    <w:rsid w:val="1D061DC0"/>
    <w:rsid w:val="1D0E6240"/>
    <w:rsid w:val="1EE28564"/>
    <w:rsid w:val="203A90E5"/>
    <w:rsid w:val="20D83C41"/>
    <w:rsid w:val="21822697"/>
    <w:rsid w:val="24D19EFE"/>
    <w:rsid w:val="2A211194"/>
    <w:rsid w:val="2E388D42"/>
    <w:rsid w:val="3196F9A9"/>
    <w:rsid w:val="325F7146"/>
    <w:rsid w:val="383E2D96"/>
    <w:rsid w:val="3BC7FC9E"/>
    <w:rsid w:val="3CEA6639"/>
    <w:rsid w:val="3F3176F6"/>
    <w:rsid w:val="41B6C5CE"/>
    <w:rsid w:val="46917853"/>
    <w:rsid w:val="47AC43F2"/>
    <w:rsid w:val="48244C7D"/>
    <w:rsid w:val="488A3910"/>
    <w:rsid w:val="5016BA43"/>
    <w:rsid w:val="507C2298"/>
    <w:rsid w:val="54F61439"/>
    <w:rsid w:val="579F7968"/>
    <w:rsid w:val="583295C5"/>
    <w:rsid w:val="597C203C"/>
    <w:rsid w:val="59F1C815"/>
    <w:rsid w:val="5D08839A"/>
    <w:rsid w:val="633F84AC"/>
    <w:rsid w:val="643E9527"/>
    <w:rsid w:val="6860DF27"/>
    <w:rsid w:val="6B3601ED"/>
    <w:rsid w:val="6EFB5EF4"/>
    <w:rsid w:val="6FD0602B"/>
    <w:rsid w:val="75B77EC9"/>
    <w:rsid w:val="76D876AF"/>
    <w:rsid w:val="79774701"/>
    <w:rsid w:val="7BA221DB"/>
    <w:rsid w:val="7EBF60B8"/>
    <w:rsid w:val="7F170A75"/>
    <w:rsid w:val="7F7A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452E9F72"/>
  <w15:docId w15:val="{A371A526-44FE-4C11-977D-9F31260C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6A"/>
    <w:pPr>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tabs>
        <w:tab w:val="left" w:pos="851"/>
      </w:tabs>
    </w:pPr>
    <w:rPr>
      <w:sz w:val="20"/>
      <w:szCs w:val="20"/>
      <w:lang w:bidi="ar-SA"/>
    </w:rPr>
  </w:style>
  <w:style w:type="paragraph" w:customStyle="1" w:styleId="FSCDraftingitemheading">
    <w:name w:val="FSC_Drafting_item_heading"/>
    <w:basedOn w:val="Normal"/>
    <w:qFormat/>
    <w:rsid w:val="00796562"/>
    <w:pPr>
      <w:ind w:left="851" w:hanging="851"/>
    </w:pPr>
    <w:rPr>
      <w:b/>
      <w:sz w:val="20"/>
      <w:szCs w:val="20"/>
      <w:lang w:bidi="ar-SA"/>
    </w:rPr>
  </w:style>
  <w:style w:type="paragraph" w:customStyle="1" w:styleId="FSCfooter">
    <w:name w:val="FSC_footer"/>
    <w:basedOn w:val="Normal"/>
    <w:rsid w:val="00796562"/>
    <w:pPr>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qForma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numPr>
        <w:numId w:val="2"/>
      </w:numPr>
      <w:ind w:left="1134" w:hanging="567"/>
    </w:pPr>
    <w:rPr>
      <w:rFonts w:eastAsia="Calibri"/>
      <w:szCs w:val="22"/>
      <w:lang w:bidi="ar-SA"/>
    </w:rPr>
  </w:style>
  <w:style w:type="paragraph" w:customStyle="1" w:styleId="FSBullet3">
    <w:name w:val="FSBullet 3"/>
    <w:basedOn w:val="Normal"/>
    <w:qFormat/>
    <w:rsid w:val="0029631C"/>
    <w:pPr>
      <w:keepNext/>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spacing w:before="80"/>
    </w:pPr>
    <w:rPr>
      <w:color w:val="7030A0"/>
      <w:lang w:eastAsia="en-AU" w:bidi="ar-SA"/>
    </w:rPr>
  </w:style>
  <w:style w:type="paragraph" w:customStyle="1" w:styleId="FSCoFooter">
    <w:name w:val="FSC_o_Footer"/>
    <w:basedOn w:val="Normal"/>
    <w:rsid w:val="00796562"/>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spacing w:before="20" w:after="20"/>
    </w:pPr>
    <w:rPr>
      <w:rFonts w:eastAsiaTheme="minorHAnsi" w:cs="Arial"/>
      <w:sz w:val="18"/>
      <w:szCs w:val="22"/>
      <w:lang w:bidi="ar-SA"/>
    </w:rPr>
  </w:style>
  <w:style w:type="paragraph" w:customStyle="1" w:styleId="FSCtblAdd2">
    <w:name w:val="FSC_tbl_Add2"/>
    <w:basedOn w:val="Normal"/>
    <w:qFormat/>
    <w:rsid w:val="00796562"/>
    <w:pPr>
      <w:keepLines/>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spacing w:after="60"/>
    </w:pPr>
    <w:rPr>
      <w:rFonts w:eastAsia="Calibri"/>
      <w:b/>
      <w:sz w:val="16"/>
      <w:szCs w:val="20"/>
      <w:lang w:eastAsia="en-AU" w:bidi="ar-SA"/>
    </w:rPr>
  </w:style>
  <w:style w:type="paragraph" w:customStyle="1" w:styleId="FSCtblAmendmain">
    <w:name w:val="FSC_tbl_Amend_main"/>
    <w:basedOn w:val="Normal"/>
    <w:qFormat/>
    <w:rsid w:val="00796562"/>
    <w:pPr>
      <w:ind w:left="113" w:hanging="113"/>
    </w:pPr>
    <w:rPr>
      <w:bCs/>
      <w:sz w:val="16"/>
      <w:szCs w:val="20"/>
      <w:lang w:bidi="ar-SA"/>
    </w:rPr>
  </w:style>
  <w:style w:type="paragraph" w:customStyle="1" w:styleId="FSCtblh2">
    <w:name w:val="FSC_tbl_h2"/>
    <w:basedOn w:val="Normal"/>
    <w:qFormat/>
    <w:rsid w:val="00796562"/>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spacing w:before="60" w:after="60"/>
    </w:pPr>
    <w:rPr>
      <w:rFonts w:cs="Arial"/>
      <w:i/>
      <w:sz w:val="18"/>
      <w:szCs w:val="22"/>
      <w:lang w:eastAsia="en-AU" w:bidi="ar-SA"/>
    </w:rPr>
  </w:style>
  <w:style w:type="paragraph" w:customStyle="1" w:styleId="FSCtblMain">
    <w:name w:val="FSC_tbl_Main"/>
    <w:basedOn w:val="Normal"/>
    <w:rsid w:val="00796562"/>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Default">
    <w:name w:val="Default"/>
    <w:rsid w:val="00B51F78"/>
    <w:pPr>
      <w:autoSpaceDE w:val="0"/>
      <w:autoSpaceDN w:val="0"/>
      <w:adjustRightInd w:val="0"/>
    </w:pPr>
    <w:rPr>
      <w:rFonts w:ascii="Arial" w:hAnsi="Arial" w:cs="Arial"/>
      <w:color w:val="000000"/>
      <w:sz w:val="24"/>
      <w:szCs w:val="24"/>
    </w:rPr>
  </w:style>
  <w:style w:type="character" w:customStyle="1" w:styleId="FootnoteTextChar">
    <w:name w:val="Footnote Text Char"/>
    <w:aliases w:val="Footnotes Text Char,FSFootnotes Text Char,FSFootnote Text Char"/>
    <w:basedOn w:val="DefaultParagraphFont"/>
    <w:link w:val="FootnoteText"/>
    <w:rsid w:val="008441E8"/>
    <w:rPr>
      <w:rFonts w:ascii="Arial" w:hAnsi="Arial"/>
      <w:lang w:eastAsia="en-US" w:bidi="en-US"/>
    </w:rPr>
  </w:style>
  <w:style w:type="table" w:customStyle="1" w:styleId="TableGrid31">
    <w:name w:val="Table Grid31"/>
    <w:basedOn w:val="TableNormal"/>
    <w:next w:val="TableGrid"/>
    <w:uiPriority w:val="59"/>
    <w:rsid w:val="008441E8"/>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42">
    <w:name w:val="Table Classic 42"/>
    <w:basedOn w:val="TableNormal"/>
    <w:rsid w:val="008441E8"/>
    <w:pPr>
      <w:widowControl w:val="0"/>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unhideWhenUsed/>
    <w:rsid w:val="008441E8"/>
    <w:rPr>
      <w:b/>
      <w:bCs/>
    </w:rPr>
  </w:style>
  <w:style w:type="character" w:customStyle="1" w:styleId="CommentSubjectChar">
    <w:name w:val="Comment Subject Char"/>
    <w:basedOn w:val="CommentTextChar"/>
    <w:link w:val="CommentSubject"/>
    <w:semiHidden/>
    <w:rsid w:val="008441E8"/>
    <w:rPr>
      <w:rFonts w:ascii="Arial" w:hAnsi="Arial"/>
      <w:b/>
      <w:bCs/>
      <w:lang w:eastAsia="en-US" w:bidi="en-US"/>
    </w:rPr>
  </w:style>
  <w:style w:type="table" w:customStyle="1" w:styleId="Table">
    <w:name w:val="Table"/>
    <w:basedOn w:val="TableNormal"/>
    <w:uiPriority w:val="99"/>
    <w:rsid w:val="004A4E7A"/>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customStyle="1" w:styleId="FooterChar">
    <w:name w:val="Footer Char"/>
    <w:aliases w:val="FSFooter Char"/>
    <w:basedOn w:val="DefaultParagraphFont"/>
    <w:link w:val="Footer"/>
    <w:uiPriority w:val="99"/>
    <w:rsid w:val="003D650A"/>
    <w:rPr>
      <w:rFonts w:ascii="Arial" w:hAnsi="Arial"/>
      <w:szCs w:val="24"/>
      <w:lang w:eastAsia="en-US" w:bidi="en-US"/>
    </w:rPr>
  </w:style>
  <w:style w:type="paragraph" w:styleId="ListParagraph">
    <w:name w:val="List Paragraph"/>
    <w:basedOn w:val="Normal"/>
    <w:uiPriority w:val="34"/>
    <w:rsid w:val="003E7C13"/>
    <w:pPr>
      <w:ind w:left="720"/>
      <w:contextualSpacing/>
    </w:pPr>
  </w:style>
  <w:style w:type="paragraph" w:customStyle="1" w:styleId="FooterFPHFF-3052022-40603PM">
    <w:name w:val="FooterFPHFF-3052022-40603 PM"/>
    <w:rsid w:val="00206499"/>
    <w:pPr>
      <w:widowControl w:val="0"/>
    </w:pPr>
    <w:rPr>
      <w:rFonts w:ascii="Arial" w:hAnsi="Arial"/>
      <w:sz w:val="22"/>
      <w:szCs w:val="24"/>
      <w:lang w:eastAsia="en-US" w:bidi="en-US"/>
    </w:rPr>
  </w:style>
  <w:style w:type="paragraph" w:customStyle="1" w:styleId="FooterFPHFF-18052022-30005PM">
    <w:name w:val="FooterFPHFF-18052022-30005 PM"/>
    <w:rsid w:val="0097427B"/>
    <w:pPr>
      <w:spacing w:before="120" w:after="120"/>
    </w:pPr>
    <w:rPr>
      <w:rFonts w:ascii="Arial" w:hAnsi="Arial"/>
      <w:sz w:val="22"/>
      <w:szCs w:val="24"/>
      <w:lang w:eastAsia="en-US" w:bidi="en-US"/>
    </w:rPr>
  </w:style>
  <w:style w:type="paragraph" w:customStyle="1" w:styleId="FooterPPHFF-24052022-31242PM">
    <w:name w:val="FooterPPHFF-24052022-31242 PM"/>
    <w:rsid w:val="00CB7BBC"/>
    <w:pPr>
      <w:spacing w:after="240"/>
      <w:ind w:left="720"/>
      <w:contextualSpacing/>
    </w:pPr>
    <w:rPr>
      <w:rFonts w:ascii="Arial" w:eastAsiaTheme="minorHAnsi" w:hAnsi="Arial" w:cs="Arial"/>
      <w:color w:val="2E3037"/>
      <w:sz w:val="22"/>
      <w:szCs w:val="22"/>
      <w:lang w:val="en-AU" w:eastAsia="en-US"/>
    </w:rPr>
  </w:style>
  <w:style w:type="paragraph" w:customStyle="1" w:styleId="FooterPPHFF-31052022-114714AM">
    <w:name w:val="FooterPPHFF-31052022-114714 AM"/>
    <w:rsid w:val="00284960"/>
    <w:pPr>
      <w:widowControl w:val="0"/>
    </w:pPr>
    <w:rPr>
      <w:rFonts w:ascii="Arial" w:hAnsi="Arial"/>
      <w:sz w:val="22"/>
      <w:szCs w:val="24"/>
      <w:lang w:eastAsia="en-US" w:bidi="en-US"/>
    </w:rPr>
  </w:style>
  <w:style w:type="character" w:customStyle="1" w:styleId="normaltextrun">
    <w:name w:val="normaltextrun"/>
    <w:basedOn w:val="DefaultParagraphFont"/>
    <w:rsid w:val="00E91842"/>
  </w:style>
  <w:style w:type="character" w:customStyle="1" w:styleId="eop">
    <w:name w:val="eop"/>
    <w:basedOn w:val="DefaultParagraphFont"/>
    <w:rsid w:val="00E91842"/>
  </w:style>
  <w:style w:type="paragraph" w:customStyle="1" w:styleId="FSCaption">
    <w:name w:val="FSCaption"/>
    <w:basedOn w:val="Normal"/>
    <w:uiPriority w:val="9"/>
    <w:qFormat/>
    <w:locked/>
    <w:rsid w:val="00E91842"/>
    <w:pPr>
      <w:keepNext/>
      <w:keepLines/>
      <w:spacing w:after="0"/>
    </w:pPr>
    <w:rPr>
      <w:rFonts w:eastAsiaTheme="minorHAnsi" w:cstheme="minorBidi"/>
      <w:i/>
      <w:sz w:val="16"/>
      <w:szCs w:val="16"/>
      <w:lang w:bidi="ar-SA"/>
    </w:rPr>
  </w:style>
  <w:style w:type="paragraph" w:customStyle="1" w:styleId="FooterFPHFF-17062022-22550PM">
    <w:name w:val="FooterFPHFF-17062022-22550 PM"/>
    <w:rsid w:val="008323DA"/>
    <w:pPr>
      <w:spacing w:before="120" w:after="120"/>
    </w:pPr>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5553">
      <w:bodyDiv w:val="1"/>
      <w:marLeft w:val="0"/>
      <w:marRight w:val="0"/>
      <w:marTop w:val="0"/>
      <w:marBottom w:val="0"/>
      <w:divBdr>
        <w:top w:val="none" w:sz="0" w:space="0" w:color="auto"/>
        <w:left w:val="none" w:sz="0" w:space="0" w:color="auto"/>
        <w:bottom w:val="none" w:sz="0" w:space="0" w:color="auto"/>
        <w:right w:val="none" w:sz="0" w:space="0" w:color="auto"/>
      </w:divBdr>
    </w:div>
    <w:div w:id="42284561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883761290">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129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who.int/docs/default-source/food-safety/publications/chapter6-dietary-exposure.pdf?sfvrsn=26d37b15_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47a4067e2a6f4029"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ao.org/3/a0675e/a0675e.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iubmb.qmul.ac.uk/enzyme/EC3/1/1/32.html"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6114CE90-8152-4F5E-89B2-A43B9985B32A}"/>
</file>

<file path=customXml/itemProps2.xml><?xml version="1.0" encoding="utf-8"?>
<ds:datastoreItem xmlns:ds="http://schemas.openxmlformats.org/officeDocument/2006/customXml" ds:itemID="{38B052C4-7CFF-46F7-B93B-62C55037AA36}"/>
</file>

<file path=customXml/itemProps3.xml><?xml version="1.0" encoding="utf-8"?>
<ds:datastoreItem xmlns:ds="http://schemas.openxmlformats.org/officeDocument/2006/customXml" ds:itemID="{515FFC24-DFB0-42F2-9B93-34DC54FF0B04}"/>
</file>

<file path=customXml/itemProps4.xml><?xml version="1.0" encoding="utf-8"?>
<ds:datastoreItem xmlns:ds="http://schemas.openxmlformats.org/officeDocument/2006/customXml" ds:itemID="{71785AE7-9C1C-4F05-8CC1-343DCE88300C}">
  <ds:schemaRefs>
    <ds:schemaRef ds:uri="Microsoft.SharePoint.Taxonomy.ContentTypeSync"/>
  </ds:schemaRefs>
</ds:datastoreItem>
</file>

<file path=customXml/itemProps5.xml><?xml version="1.0" encoding="utf-8"?>
<ds:datastoreItem xmlns:ds="http://schemas.openxmlformats.org/officeDocument/2006/customXml" ds:itemID="{90C46DAA-B85E-433A-B0F6-96DB99194C2D}"/>
</file>

<file path=customXml/itemProps6.xml><?xml version="1.0" encoding="utf-8"?>
<ds:datastoreItem xmlns:ds="http://schemas.openxmlformats.org/officeDocument/2006/customXml" ds:itemID="{B05D421A-7F0B-429A-B059-DE5493890EFE}"/>
</file>

<file path=docProps/app.xml><?xml version="1.0" encoding="utf-8"?>
<Properties xmlns="http://schemas.openxmlformats.org/officeDocument/2006/extended-properties" xmlns:vt="http://schemas.openxmlformats.org/officeDocument/2006/docPropsVTypes">
  <Template>Normal</Template>
  <TotalTime>0</TotalTime>
  <Pages>14</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A1221 SD1</vt:lpstr>
    </vt:vector>
  </TitlesOfParts>
  <Company>ANZFA</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A1221 SD1</dc:title>
  <dc:creator>seymok</dc:creator>
  <cp:keywords/>
  <cp:lastModifiedBy>Tailee Vecchi</cp:lastModifiedBy>
  <cp:revision>2</cp:revision>
  <cp:lastPrinted>2011-08-22T03:30:00Z</cp:lastPrinted>
  <dcterms:created xsi:type="dcterms:W3CDTF">2022-08-01T04:29:00Z</dcterms:created>
  <dcterms:modified xsi:type="dcterms:W3CDTF">2022-08-01T04:29:00Z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52d3a97b-24c2-4293-b6dd-d95d1c0ae391</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48df6b2b-8a15-4b04-94ca-673438bc2961</vt:lpwstr>
  </property>
  <property fmtid="{D5CDD505-2E9C-101B-9397-08002B2CF9AE}" pid="6" name="DisposalClass">
    <vt:lpwstr/>
  </property>
  <property fmtid="{D5CDD505-2E9C-101B-9397-08002B2CF9AE}" pid="7" name="BCS_">
    <vt:lpwstr>25;#Call for Submissions|8cfb1c27-19a6-4349-9bee-b620975c20b4</vt:lpwstr>
  </property>
  <property fmtid="{D5CDD505-2E9C-101B-9397-08002B2CF9AE}" pid="8" name="bjClsUserRVM">
    <vt:lpwstr>[]</vt:lpwstr>
  </property>
  <property fmtid="{D5CDD505-2E9C-101B-9397-08002B2CF9AE}" pid="9" name="pd3a3559ef84480a8025c4c7bb6e6dee">
    <vt:lpwstr/>
  </property>
  <property fmtid="{D5CDD505-2E9C-101B-9397-08002B2CF9AE}" pid="10" name="h46016694f704d158a57d0b5238c000e">
    <vt:lpwstr/>
  </property>
  <property fmtid="{D5CDD505-2E9C-101B-9397-08002B2CF9AE}" pid="11" name="Data Category">
    <vt:lpwstr/>
  </property>
  <property fmtid="{D5CDD505-2E9C-101B-9397-08002B2CF9AE}" pid="12" name="Data_x0020_Privacy">
    <vt:lpwstr/>
  </property>
  <property fmtid="{D5CDD505-2E9C-101B-9397-08002B2CF9AE}" pid="13" name="Data Privacy">
    <vt:lpwstr/>
  </property>
  <property fmtid="{D5CDD505-2E9C-101B-9397-08002B2CF9AE}" pid="14" name="Data Accessibility">
    <vt:lpwstr/>
  </property>
  <property fmtid="{D5CDD505-2E9C-101B-9397-08002B2CF9AE}" pid="15" name="BCS">
    <vt:lpwstr>7;#Call for Submissions|8cfb1c27-19a6-4349-9bee-b620975c20b4</vt:lpwstr>
  </property>
  <property fmtid="{D5CDD505-2E9C-101B-9397-08002B2CF9AE}" pid="16" name="Access">
    <vt:lpwstr/>
  </property>
  <property fmtid="{D5CDD505-2E9C-101B-9397-08002B2CF9AE}" pid="17" name="Classification">
    <vt:lpwstr>1;#OFFICIAL|3776503d-ed4e-4d70-8dfd-8e17b238523b</vt:lpwstr>
  </property>
  <property fmtid="{D5CDD505-2E9C-101B-9397-08002B2CF9AE}" pid="18" name="Data_x0020_Category">
    <vt:lpwstr/>
  </property>
  <property fmtid="{D5CDD505-2E9C-101B-9397-08002B2CF9AE}" pid="19" name="Data_x0020_Accessibility">
    <vt:lpwstr/>
  </property>
  <property fmtid="{D5CDD505-2E9C-101B-9397-08002B2CF9AE}" pid="20" name="o2e94e0b7bb742308b3aec7384781dc0">
    <vt:lpwstr/>
  </property>
  <property fmtid="{D5CDD505-2E9C-101B-9397-08002B2CF9AE}" pid="21"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2" name="bjDocumentLabelXML-0">
    <vt:lpwstr>ames.com/2008/01/sie/internal/label"&gt;&lt;element uid="66ddac19-06c4-4e63-b4dd-d8240d87a23f" value="" /&gt;&lt;/sisl&gt;</vt:lpwstr>
  </property>
  <property fmtid="{D5CDD505-2E9C-101B-9397-08002B2CF9AE}" pid="23" name="bjDocumentSecurityLabel">
    <vt:lpwstr>NO SECURITY CLASSIFICATION REQUIRED</vt:lpwstr>
  </property>
</Properties>
</file>